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9E370F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9</w:t>
      </w:r>
      <w:r w:rsidR="0019712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/2024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9E370F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2</w:t>
      </w:r>
      <w:r w:rsidR="00AB3C9E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5 października</w:t>
      </w:r>
      <w:r w:rsidR="0019712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2024</w:t>
      </w: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027DFF" w:rsidRDefault="008D78EA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8D78EA">
        <w:rPr>
          <w:rFonts w:ascii="Arial" w:hAnsi="Arial" w:cs="Arial"/>
          <w:b/>
          <w:sz w:val="24"/>
          <w:szCs w:val="24"/>
          <w:lang w:val="pl-PL"/>
        </w:rPr>
        <w:t>w s</w:t>
      </w:r>
      <w:r w:rsidR="00A4251F">
        <w:rPr>
          <w:rFonts w:ascii="Arial" w:hAnsi="Arial" w:cs="Arial"/>
          <w:b/>
          <w:sz w:val="24"/>
          <w:szCs w:val="24"/>
          <w:lang w:val="pl-PL"/>
        </w:rPr>
        <w:t xml:space="preserve">prawie </w:t>
      </w:r>
      <w:r w:rsidR="00027DFF">
        <w:rPr>
          <w:rFonts w:ascii="Arial" w:hAnsi="Arial" w:cs="Arial"/>
          <w:b/>
          <w:sz w:val="24"/>
          <w:szCs w:val="24"/>
          <w:lang w:val="pl-PL"/>
        </w:rPr>
        <w:t xml:space="preserve">wyrażenia opinii nt. </w:t>
      </w:r>
      <w:r w:rsidR="00027DFF" w:rsidRPr="00B33A9C">
        <w:rPr>
          <w:rFonts w:ascii="Arial" w:hAnsi="Arial" w:cs="Arial"/>
          <w:b/>
          <w:bCs/>
          <w:sz w:val="24"/>
          <w:szCs w:val="24"/>
          <w:lang w:val="pl-PL"/>
        </w:rPr>
        <w:t xml:space="preserve">projektu </w:t>
      </w:r>
      <w:r w:rsidR="00027DFF" w:rsidRPr="000B2C6B">
        <w:rPr>
          <w:rFonts w:ascii="Arial" w:hAnsi="Arial" w:cs="Arial"/>
          <w:b/>
          <w:bCs/>
          <w:sz w:val="24"/>
          <w:szCs w:val="24"/>
          <w:lang w:val="pl-PL"/>
        </w:rPr>
        <w:t xml:space="preserve">uchwały Sejmiku Województwa Małopolskiego </w:t>
      </w:r>
      <w:r w:rsidR="009E370F" w:rsidRPr="009E370F">
        <w:rPr>
          <w:rFonts w:ascii="Arial" w:eastAsia="Times New Roman" w:hAnsi="Arial" w:cs="Arial"/>
          <w:b/>
          <w:sz w:val="24"/>
          <w:szCs w:val="24"/>
          <w:lang w:val="pl-PL" w:eastAsia="pl-PL"/>
        </w:rPr>
        <w:t>w sprawie przyjęcia „Programu współpracy Województwa Małopolskiego z organizacjami pozarządowymi i innymi podmiotami prowadzącymi działalność pożytku publicznego na rok 2025”.</w:t>
      </w:r>
    </w:p>
    <w:p w:rsidR="00EB493E" w:rsidRPr="00F65E02" w:rsidRDefault="008D78EA" w:rsidP="00F65E02">
      <w:pPr>
        <w:suppressAutoHyphens w:val="0"/>
        <w:autoSpaceDN/>
        <w:spacing w:before="480" w:line="240" w:lineRule="auto"/>
        <w:jc w:val="both"/>
        <w:outlineLvl w:val="0"/>
      </w:pPr>
      <w:r w:rsidRPr="00027DFF">
        <w:rPr>
          <w:rFonts w:ascii="Arial" w:eastAsia="Times New Roman" w:hAnsi="Arial" w:cs="Arial"/>
          <w:color w:val="000000"/>
          <w:lang w:val="pl-PL" w:eastAsia="pl-PL"/>
        </w:rPr>
        <w:t>Na podstawie § 2 ust. 1 pkt. 7 Regulaminu określającego organizację i tryb działania</w:t>
      </w:r>
      <w:r w:rsidRPr="008D78EA">
        <w:rPr>
          <w:rFonts w:ascii="Arial" w:eastAsia="Times New Roman" w:hAnsi="Arial" w:cs="Arial"/>
          <w:color w:val="000000"/>
          <w:lang w:val="pl-PL" w:eastAsia="pl-PL"/>
        </w:rPr>
        <w:t xml:space="preserve"> Małopolskiej Rady Działalności Pożytku Publicznego będącego Załącznikiem nr 2 do Uchwały nr 874/22 Zarządu Województwa Małopolskiego z dnia 31 maja 2022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674F5F" w:rsidRDefault="00674F5F" w:rsidP="00674F5F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pl-PL" w:eastAsia="pl-PL"/>
        </w:rPr>
      </w:pPr>
      <w:r w:rsidRPr="00674F5F">
        <w:rPr>
          <w:rFonts w:ascii="Arial" w:eastAsia="Times New Roman" w:hAnsi="Arial" w:cs="Arial"/>
          <w:color w:val="000000"/>
          <w:lang w:val="pl-PL" w:eastAsia="pl-PL"/>
        </w:rPr>
        <w:t>Opiniuje pozytywnie projekt</w:t>
      </w:r>
      <w:r w:rsidR="00427EB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74F5F">
        <w:rPr>
          <w:rFonts w:ascii="Arial" w:eastAsia="Times New Roman" w:hAnsi="Arial" w:cs="Arial"/>
          <w:bCs/>
          <w:color w:val="000000"/>
          <w:lang w:val="pl-PL" w:eastAsia="pl-PL"/>
        </w:rPr>
        <w:t xml:space="preserve">uchwały Sejmiku Województwa Małopolskiego w sprawie </w:t>
      </w:r>
      <w:r w:rsidR="009E370F" w:rsidRPr="009E370F">
        <w:rPr>
          <w:rFonts w:ascii="Arial" w:eastAsia="Times New Roman" w:hAnsi="Arial" w:cs="Arial"/>
          <w:bCs/>
          <w:color w:val="000000"/>
          <w:lang w:val="pl-PL" w:eastAsia="pl-PL"/>
        </w:rPr>
        <w:t>w sprawie przyjęcia „Programu współpracy Województwa Małopolskiego z organizacjami pozarządowymi i innymi podmiotami prowadzącymi działalność pożytku publicznego na rok 2025”.</w:t>
      </w:r>
    </w:p>
    <w:p w:rsidR="00EF5B26" w:rsidRPr="003665D3" w:rsidRDefault="00674F5F" w:rsidP="00674F5F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pl-PL" w:eastAsia="pl-PL"/>
        </w:rPr>
      </w:pPr>
      <w:r w:rsidRPr="00674F5F">
        <w:rPr>
          <w:rFonts w:ascii="Arial" w:eastAsia="Times New Roman" w:hAnsi="Arial" w:cs="Arial"/>
          <w:bCs/>
          <w:color w:val="000000"/>
          <w:lang w:val="pl-PL" w:eastAsia="pl-PL"/>
        </w:rPr>
        <w:t>Rekomenduje jednocześnie</w:t>
      </w:r>
      <w:r w:rsidR="003665D3">
        <w:rPr>
          <w:rFonts w:ascii="Arial" w:eastAsia="Times New Roman" w:hAnsi="Arial" w:cs="Arial"/>
          <w:bCs/>
          <w:color w:val="000000"/>
          <w:lang w:val="pl-PL" w:eastAsia="pl-PL"/>
        </w:rPr>
        <w:t xml:space="preserve"> wprowadzenie</w:t>
      </w:r>
      <w:r w:rsidRPr="00674F5F">
        <w:rPr>
          <w:rFonts w:ascii="Arial" w:eastAsia="Times New Roman" w:hAnsi="Arial" w:cs="Arial"/>
          <w:bCs/>
          <w:color w:val="000000"/>
          <w:lang w:val="pl-PL" w:eastAsia="pl-PL"/>
        </w:rPr>
        <w:t xml:space="preserve"> zmian zaproponowanych w brzmieniu załącznika do niniejszej uchwały.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903C2E">
      <w:pPr>
        <w:spacing w:after="516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>Uchwała wc</w:t>
      </w:r>
      <w:r w:rsidR="008D78EA">
        <w:rPr>
          <w:rFonts w:ascii="Arial" w:eastAsia="Times New Roman" w:hAnsi="Arial" w:cs="Arial"/>
          <w:color w:val="000000"/>
          <w:lang w:val="pl-PL" w:eastAsia="pl-PL"/>
        </w:rPr>
        <w:t>hodzi w życie z dniem podjęcia.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>Uprawnionych do głosowania:16</w:t>
      </w:r>
    </w:p>
    <w:p w:rsidR="000B2C6B" w:rsidRPr="000B2C6B" w:rsidRDefault="00F859E6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Biorących udział w głosowaniu</w:t>
      </w:r>
      <w:r w:rsidR="000B2C6B" w:rsidRPr="000B2C6B">
        <w:rPr>
          <w:rFonts w:ascii="Arial" w:eastAsia="Times New Roman" w:hAnsi="Arial" w:cs="Arial"/>
          <w:color w:val="000000"/>
          <w:lang w:val="pl-PL" w:eastAsia="pl-PL"/>
        </w:rPr>
        <w:t xml:space="preserve">: </w:t>
      </w:r>
      <w:r w:rsidR="00327A88">
        <w:rPr>
          <w:rFonts w:ascii="Arial" w:eastAsia="Times New Roman" w:hAnsi="Arial" w:cs="Arial"/>
          <w:color w:val="000000"/>
          <w:lang w:val="pl-PL" w:eastAsia="pl-PL"/>
        </w:rPr>
        <w:t>13</w:t>
      </w:r>
    </w:p>
    <w:p w:rsidR="004214BE" w:rsidRDefault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lastRenderedPageBreak/>
        <w:t xml:space="preserve">Oddane głosy: „za”: </w:t>
      </w:r>
      <w:r w:rsidR="00327A88">
        <w:rPr>
          <w:rFonts w:ascii="Arial" w:eastAsia="Times New Roman" w:hAnsi="Arial" w:cs="Arial"/>
          <w:color w:val="000000"/>
          <w:lang w:val="pl-PL" w:eastAsia="pl-PL"/>
        </w:rPr>
        <w:t>13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; „przeciw”: </w:t>
      </w:r>
      <w:r w:rsidR="006E0A11">
        <w:rPr>
          <w:rFonts w:ascii="Arial" w:eastAsia="Times New Roman" w:hAnsi="Arial" w:cs="Arial"/>
          <w:color w:val="000000"/>
          <w:lang w:val="pl-PL" w:eastAsia="pl-PL"/>
        </w:rPr>
        <w:t>0</w:t>
      </w:r>
      <w:r w:rsidR="00CB6193">
        <w:rPr>
          <w:rFonts w:ascii="Arial" w:eastAsia="Times New Roman" w:hAnsi="Arial" w:cs="Arial"/>
          <w:color w:val="000000"/>
          <w:lang w:val="pl-PL" w:eastAsia="pl-PL"/>
        </w:rPr>
        <w:t xml:space="preserve">, „wstrzymujący się”: </w:t>
      </w:r>
      <w:r w:rsidR="006E0A11">
        <w:rPr>
          <w:rFonts w:ascii="Arial" w:eastAsia="Times New Roman" w:hAnsi="Arial" w:cs="Arial"/>
          <w:color w:val="000000"/>
          <w:lang w:val="pl-PL" w:eastAsia="pl-PL"/>
        </w:rPr>
        <w:t>0</w:t>
      </w:r>
    </w:p>
    <w:p w:rsidR="003665D3" w:rsidRPr="004214BE" w:rsidRDefault="004214BE" w:rsidP="003665D3">
      <w:pPr>
        <w:suppressAutoHyphens w:val="0"/>
        <w:jc w:val="right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br w:type="page"/>
      </w:r>
      <w:r w:rsidR="003665D3" w:rsidRPr="004214BE">
        <w:rPr>
          <w:rFonts w:ascii="Arial" w:eastAsia="Times New Roman" w:hAnsi="Arial" w:cs="Arial"/>
          <w:color w:val="000000"/>
          <w:lang w:val="pl-PL" w:eastAsia="pl-PL"/>
        </w:rPr>
        <w:lastRenderedPageBreak/>
        <w:t>Załącznik</w:t>
      </w:r>
    </w:p>
    <w:p w:rsidR="003665D3" w:rsidRPr="004214BE" w:rsidRDefault="003665D3" w:rsidP="003665D3">
      <w:pPr>
        <w:suppressAutoHyphens w:val="0"/>
        <w:jc w:val="right"/>
        <w:rPr>
          <w:rFonts w:ascii="Arial" w:eastAsia="Times New Roman" w:hAnsi="Arial" w:cs="Arial"/>
          <w:color w:val="000000"/>
          <w:lang w:val="pl-PL" w:eastAsia="pl-PL"/>
        </w:rPr>
      </w:pPr>
      <w:r w:rsidRPr="004214BE">
        <w:rPr>
          <w:rFonts w:ascii="Arial" w:eastAsia="Times New Roman" w:hAnsi="Arial" w:cs="Arial"/>
          <w:color w:val="000000"/>
          <w:lang w:val="pl-PL" w:eastAsia="pl-PL"/>
        </w:rPr>
        <w:t xml:space="preserve">do uchwały </w:t>
      </w:r>
      <w:r w:rsidR="00635735">
        <w:rPr>
          <w:rFonts w:ascii="Arial" w:eastAsia="Times New Roman" w:hAnsi="Arial" w:cs="Arial"/>
          <w:color w:val="000000"/>
          <w:lang w:val="pl-PL" w:eastAsia="pl-PL"/>
        </w:rPr>
        <w:t>9</w:t>
      </w:r>
      <w:r w:rsidRPr="004214BE">
        <w:rPr>
          <w:rFonts w:ascii="Arial" w:eastAsia="Times New Roman" w:hAnsi="Arial" w:cs="Arial"/>
          <w:color w:val="000000"/>
          <w:lang w:val="pl-PL" w:eastAsia="pl-PL"/>
        </w:rPr>
        <w:t xml:space="preserve">/2024 MRDPP </w:t>
      </w:r>
    </w:p>
    <w:p w:rsidR="003665D3" w:rsidRPr="004214BE" w:rsidRDefault="00AB3C9E" w:rsidP="003665D3">
      <w:pPr>
        <w:suppressAutoHyphens w:val="0"/>
        <w:jc w:val="right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z dnia </w:t>
      </w:r>
      <w:r w:rsidR="00635735">
        <w:rPr>
          <w:rFonts w:ascii="Arial" w:eastAsia="Times New Roman" w:hAnsi="Arial" w:cs="Arial"/>
          <w:color w:val="000000"/>
          <w:lang w:val="pl-PL" w:eastAsia="pl-PL"/>
        </w:rPr>
        <w:t>2</w:t>
      </w:r>
      <w:r>
        <w:rPr>
          <w:rFonts w:ascii="Arial" w:eastAsia="Times New Roman" w:hAnsi="Arial" w:cs="Arial"/>
          <w:color w:val="000000"/>
          <w:lang w:val="pl-PL" w:eastAsia="pl-PL"/>
        </w:rPr>
        <w:t>5.10.</w:t>
      </w:r>
      <w:r w:rsidR="003665D3" w:rsidRPr="004214BE">
        <w:rPr>
          <w:rFonts w:ascii="Arial" w:eastAsia="Times New Roman" w:hAnsi="Arial" w:cs="Arial"/>
          <w:color w:val="000000"/>
          <w:lang w:val="pl-PL" w:eastAsia="pl-PL"/>
        </w:rPr>
        <w:t>2024 r.</w:t>
      </w:r>
    </w:p>
    <w:p w:rsidR="003665D3" w:rsidRPr="004214BE" w:rsidRDefault="003665D3" w:rsidP="003665D3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4214BE">
        <w:rPr>
          <w:rFonts w:ascii="Arial" w:eastAsia="Times New Roman" w:hAnsi="Arial" w:cs="Arial"/>
          <w:color w:val="000000"/>
          <w:lang w:val="pl-PL" w:eastAsia="pl-PL"/>
        </w:rPr>
        <w:t xml:space="preserve">Stanowisko Małopolskiej Rady Działalności Pożytku Publicznego dotyczące projektu Uchwały SWM </w:t>
      </w:r>
      <w:r w:rsidR="009E20F4" w:rsidRPr="009E20F4">
        <w:rPr>
          <w:rFonts w:ascii="Arial" w:eastAsia="Times New Roman" w:hAnsi="Arial" w:cs="Arial"/>
          <w:color w:val="000000"/>
          <w:lang w:val="pl-PL" w:eastAsia="pl-PL"/>
        </w:rPr>
        <w:t xml:space="preserve">w sprawie przyjęcia „Programu współpracy Województwa Małopolskiego </w:t>
      </w:r>
      <w:r w:rsidR="009E20F4" w:rsidRPr="009E20F4">
        <w:rPr>
          <w:rFonts w:ascii="Arial" w:eastAsia="Times New Roman" w:hAnsi="Arial" w:cs="Arial"/>
          <w:color w:val="000000"/>
          <w:lang w:val="pl-PL" w:eastAsia="pl-PL"/>
        </w:rPr>
        <w:br/>
        <w:t>z organizacjami pozarządowymi i innymi podmiotami prowadzącymi działalność pożytku publicznego na rok 2025</w:t>
      </w:r>
      <w:r w:rsidR="00635735">
        <w:rPr>
          <w:rFonts w:ascii="Arial" w:eastAsia="Times New Roman" w:hAnsi="Arial" w:cs="Arial"/>
          <w:color w:val="000000"/>
          <w:lang w:val="pl-PL" w:eastAsia="pl-PL"/>
        </w:rPr>
        <w:t>”</w:t>
      </w:r>
      <w:r w:rsidRPr="004214BE">
        <w:rPr>
          <w:rFonts w:ascii="Arial" w:eastAsia="Times New Roman" w:hAnsi="Arial" w:cs="Arial"/>
          <w:color w:val="000000"/>
          <w:lang w:val="pl-PL" w:eastAsia="pl-PL"/>
        </w:rPr>
        <w:t xml:space="preserve">: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624"/>
        <w:gridCol w:w="2908"/>
        <w:gridCol w:w="4420"/>
      </w:tblGrid>
      <w:tr w:rsidR="001C2DFA" w:rsidRPr="004214BE" w:rsidTr="00717B7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A" w:rsidRPr="00717B73" w:rsidRDefault="001C2DFA" w:rsidP="003529B1">
            <w:pPr>
              <w:suppressAutoHyphens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717B7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DFA" w:rsidRPr="001C2DFA" w:rsidRDefault="001C2DFA" w:rsidP="003529B1">
            <w:pPr>
              <w:suppressAutoHyphens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1C2DF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pl-PL" w:eastAsia="pl-PL"/>
              </w:rPr>
              <w:t>Część projektu, do którego odnosi się zgłaszane stanowisko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DFA" w:rsidRPr="001C2DFA" w:rsidRDefault="001C2DFA" w:rsidP="003529B1">
            <w:pPr>
              <w:suppressAutoHyphens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1C2DF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pl-PL" w:eastAsia="pl-PL"/>
              </w:rPr>
              <w:t>Treść stanowiska (propozycja zmiany)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DFA" w:rsidRPr="001C2DFA" w:rsidRDefault="001C2DFA" w:rsidP="003529B1">
            <w:pPr>
              <w:suppressAutoHyphens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1C2DF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pl-PL" w:eastAsia="pl-PL"/>
              </w:rPr>
              <w:t>Uzasadnienie stanowiska</w:t>
            </w:r>
          </w:p>
        </w:tc>
      </w:tr>
      <w:tr w:rsidR="001C2DFA" w:rsidRPr="0005030C" w:rsidTr="00717B7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A" w:rsidRPr="00717B73" w:rsidRDefault="00717B73" w:rsidP="001C2DFA">
            <w:pPr>
              <w:suppressAutoHyphens w:val="0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val="pl-PL" w:eastAsia="pl-PL"/>
              </w:rPr>
            </w:pPr>
            <w:r w:rsidRPr="00717B73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A" w:rsidRPr="001C2DFA" w:rsidRDefault="001C2DFA" w:rsidP="001C2DFA">
            <w:pPr>
              <w:suppressAutoHyphens w:val="0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pl-PL" w:eastAsia="pl-PL"/>
              </w:rPr>
            </w:pPr>
            <w:r w:rsidRPr="001C2DFA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pl-PL" w:eastAsia="pl-PL"/>
              </w:rPr>
              <w:t>Rozdz. II Zasady współpracy</w:t>
            </w:r>
          </w:p>
          <w:p w:rsidR="001C2DFA" w:rsidRPr="004214BE" w:rsidRDefault="001C2DFA" w:rsidP="001C2DFA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1C2DFA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pl-PL" w:eastAsia="pl-PL"/>
              </w:rPr>
              <w:t xml:space="preserve">§ 3 pkt. 1: partnerstwa </w:t>
            </w:r>
            <w:r w:rsidRPr="001C2DFA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  <w:t>– co oznacza, że organizacje pozarządowe uczestniczą w identyfikowaniu i definiowaniu problemów społecznych oraz zadań, w wypracowywaniu sposobów ich rozwiązywania i wykonywaniu zadań publicznych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A" w:rsidRPr="004214BE" w:rsidRDefault="001C2DFA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1C2DFA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 xml:space="preserve">Zmiana brzmienia § 3 pkt. 1: </w:t>
            </w:r>
            <w:r w:rsidRPr="001C2DFA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partnerstwa </w:t>
            </w:r>
            <w:r w:rsidRPr="001C2DFA">
              <w:rPr>
                <w:rFonts w:ascii="Arial" w:hAnsi="Arial" w:cs="Arial"/>
                <w:sz w:val="18"/>
                <w:szCs w:val="18"/>
                <w:lang w:val="pl-PL"/>
              </w:rPr>
              <w:t xml:space="preserve">– co oznacza, </w:t>
            </w:r>
            <w:r w:rsidRPr="001C2DFA">
              <w:rPr>
                <w:rFonts w:ascii="Arial" w:eastAsia="TTE19FF810t00" w:hAnsi="Arial" w:cs="Arial"/>
                <w:sz w:val="18"/>
                <w:szCs w:val="18"/>
                <w:lang w:val="pl-PL"/>
              </w:rPr>
              <w:t>ż</w:t>
            </w:r>
            <w:r w:rsidRPr="001C2DFA">
              <w:rPr>
                <w:rFonts w:ascii="Arial" w:hAnsi="Arial" w:cs="Arial"/>
                <w:sz w:val="18"/>
                <w:szCs w:val="18"/>
                <w:lang w:val="pl-PL"/>
              </w:rPr>
              <w:t>e organizacje pozarz</w:t>
            </w:r>
            <w:r w:rsidRPr="001C2DFA">
              <w:rPr>
                <w:rFonts w:ascii="Arial" w:eastAsia="TTE19FF810t00" w:hAnsi="Arial" w:cs="Arial"/>
                <w:sz w:val="18"/>
                <w:szCs w:val="18"/>
                <w:lang w:val="pl-PL"/>
              </w:rPr>
              <w:t>ą</w:t>
            </w:r>
            <w:r w:rsidRPr="001C2DFA">
              <w:rPr>
                <w:rFonts w:ascii="Arial" w:hAnsi="Arial" w:cs="Arial"/>
                <w:sz w:val="18"/>
                <w:szCs w:val="18"/>
                <w:lang w:val="pl-PL"/>
              </w:rPr>
              <w:t>dowe uczestnicz</w:t>
            </w:r>
            <w:r w:rsidRPr="001C2DFA">
              <w:rPr>
                <w:rFonts w:ascii="Arial" w:eastAsia="TTE19FF810t00" w:hAnsi="Arial" w:cs="Arial"/>
                <w:sz w:val="18"/>
                <w:szCs w:val="18"/>
                <w:lang w:val="pl-PL"/>
              </w:rPr>
              <w:t xml:space="preserve">ą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 identyfikowaniu </w:t>
            </w:r>
            <w:r w:rsidRPr="001C2DFA">
              <w:rPr>
                <w:rFonts w:ascii="Arial" w:hAnsi="Arial" w:cs="Arial"/>
                <w:sz w:val="18"/>
                <w:szCs w:val="18"/>
                <w:lang w:val="pl-PL"/>
              </w:rPr>
              <w:t>i definiowaniu problemów społecznych oraz zada</w:t>
            </w:r>
            <w:r w:rsidRPr="001C2DFA">
              <w:rPr>
                <w:rFonts w:ascii="Arial" w:eastAsia="TTE19FF810t00" w:hAnsi="Arial" w:cs="Arial"/>
                <w:sz w:val="18"/>
                <w:szCs w:val="18"/>
                <w:lang w:val="pl-PL"/>
              </w:rPr>
              <w:t>ń</w:t>
            </w:r>
            <w:r w:rsidRPr="001C2DFA">
              <w:rPr>
                <w:rFonts w:ascii="Arial" w:hAnsi="Arial" w:cs="Arial"/>
                <w:sz w:val="18"/>
                <w:szCs w:val="18"/>
                <w:lang w:val="pl-PL"/>
              </w:rPr>
              <w:t>, w wypracowywaniu sposobów ich rozwi</w:t>
            </w:r>
            <w:r w:rsidRPr="001C2DFA">
              <w:rPr>
                <w:rFonts w:ascii="Arial" w:eastAsia="TTE19FF810t00" w:hAnsi="Arial" w:cs="Arial"/>
                <w:sz w:val="18"/>
                <w:szCs w:val="18"/>
                <w:lang w:val="pl-PL"/>
              </w:rPr>
              <w:t>ą</w:t>
            </w:r>
            <w:r w:rsidRPr="001C2DFA">
              <w:rPr>
                <w:rFonts w:ascii="Arial" w:hAnsi="Arial" w:cs="Arial"/>
                <w:sz w:val="18"/>
                <w:szCs w:val="18"/>
                <w:lang w:val="pl-PL"/>
              </w:rPr>
              <w:t>zywania i wykonywaniu zada</w:t>
            </w:r>
            <w:r w:rsidRPr="001C2DFA">
              <w:rPr>
                <w:rFonts w:ascii="Arial" w:eastAsia="TTE19FF810t00" w:hAnsi="Arial" w:cs="Arial"/>
                <w:sz w:val="18"/>
                <w:szCs w:val="18"/>
                <w:lang w:val="pl-PL"/>
              </w:rPr>
              <w:t xml:space="preserve">ń </w:t>
            </w:r>
            <w:r w:rsidRPr="001C2DFA">
              <w:rPr>
                <w:rFonts w:ascii="Arial" w:hAnsi="Arial" w:cs="Arial"/>
                <w:sz w:val="18"/>
                <w:szCs w:val="18"/>
                <w:lang w:val="pl-PL"/>
              </w:rPr>
              <w:t xml:space="preserve">publicznych </w:t>
            </w:r>
            <w:r w:rsidRPr="001C2DFA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na równych zasadach, z poszanowaniem wzajemnego zaangażowania i ograniczonej dostępności zasobów;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A" w:rsidRPr="001C2DFA" w:rsidRDefault="001C2DFA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1C2DFA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N</w:t>
            </w:r>
            <w:r w:rsidRPr="001C2DFA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iniejsza propozycja to doprecyzowanie już stosowanych zasad współpracy w ramach Małopolskiej Rady Działalności Pożytku Publicznego (dalej: MRDPP) w kadencji 2023-2025. Ma na celu utrzymanie niniejszych zasad w każdej kadencji i jednocześnie zwrócenie uwagi na ograniczoną dostępność zasobów obu stron Programu Współpracy, a w szczególności partnerów spoza sektora administracji.</w:t>
            </w:r>
            <w:r w:rsidRPr="001C2DFA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.</w:t>
            </w:r>
          </w:p>
        </w:tc>
      </w:tr>
      <w:tr w:rsidR="001C2DFA" w:rsidRPr="0005030C" w:rsidTr="00717B7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A" w:rsidRPr="00717B73" w:rsidRDefault="00717B7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</w:pPr>
            <w:r w:rsidRPr="00717B73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A" w:rsidRPr="001C2DFA" w:rsidRDefault="001C2DFA" w:rsidP="001C2DFA">
            <w:pPr>
              <w:suppressAutoHyphens w:val="0"/>
              <w:autoSpaceDN/>
              <w:spacing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</w:pPr>
            <w:r w:rsidRPr="001C2DFA"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  <w:t>Rozdz. II Zasady współpracy</w:t>
            </w:r>
          </w:p>
          <w:p w:rsidR="001C2DFA" w:rsidRPr="004214BE" w:rsidRDefault="001C2DFA" w:rsidP="001C2DFA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1C2DFA"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  <w:t xml:space="preserve">§ 3 pkt. 3: efektywności </w:t>
            </w:r>
            <w:r w:rsidRPr="001C2DFA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– polegającą na wspólnym dążeniu do osiągnięcia możliwie najlepszych efektów w realizacji zadań publicznych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A" w:rsidRPr="004214BE" w:rsidRDefault="001C2DFA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1C2DFA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 xml:space="preserve">Zmiana brzmienia § 3 pkt. 3: </w:t>
            </w:r>
            <w:r w:rsidRPr="001C2DFA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efektywno</w:t>
            </w:r>
            <w:r w:rsidRPr="001C2DFA">
              <w:rPr>
                <w:rFonts w:ascii="Arial" w:eastAsia="TTE1B58EA8t00" w:hAnsi="Arial" w:cs="Arial"/>
                <w:b/>
                <w:sz w:val="18"/>
                <w:szCs w:val="18"/>
                <w:lang w:val="pl-PL"/>
              </w:rPr>
              <w:t>ś</w:t>
            </w:r>
            <w:r w:rsidRPr="001C2DFA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ci </w:t>
            </w:r>
            <w:r w:rsidRPr="001C2DFA">
              <w:rPr>
                <w:rFonts w:ascii="Arial" w:hAnsi="Arial" w:cs="Arial"/>
                <w:sz w:val="18"/>
                <w:szCs w:val="18"/>
                <w:lang w:val="pl-PL"/>
              </w:rPr>
              <w:t>– polegaj</w:t>
            </w:r>
            <w:r w:rsidRPr="001C2DFA">
              <w:rPr>
                <w:rFonts w:ascii="Arial" w:eastAsia="TTE19FF810t00" w:hAnsi="Arial" w:cs="Arial"/>
                <w:sz w:val="18"/>
                <w:szCs w:val="18"/>
                <w:lang w:val="pl-PL"/>
              </w:rPr>
              <w:t>ą</w:t>
            </w:r>
            <w:r w:rsidRPr="001C2DFA">
              <w:rPr>
                <w:rFonts w:ascii="Arial" w:hAnsi="Arial" w:cs="Arial"/>
                <w:sz w:val="18"/>
                <w:szCs w:val="18"/>
                <w:lang w:val="pl-PL"/>
              </w:rPr>
              <w:t>c</w:t>
            </w:r>
            <w:r w:rsidRPr="001C2DFA">
              <w:rPr>
                <w:rFonts w:ascii="Arial" w:eastAsia="TTE19FF810t00" w:hAnsi="Arial" w:cs="Arial"/>
                <w:sz w:val="18"/>
                <w:szCs w:val="18"/>
                <w:lang w:val="pl-PL"/>
              </w:rPr>
              <w:t xml:space="preserve">ą </w:t>
            </w:r>
            <w:r w:rsidRPr="001C2DFA">
              <w:rPr>
                <w:rFonts w:ascii="Arial" w:hAnsi="Arial" w:cs="Arial"/>
                <w:sz w:val="18"/>
                <w:szCs w:val="18"/>
                <w:lang w:val="pl-PL"/>
              </w:rPr>
              <w:t>na wspólnym d</w:t>
            </w:r>
            <w:r w:rsidRPr="001C2DFA">
              <w:rPr>
                <w:rFonts w:ascii="Arial" w:eastAsia="TTE19FF810t00" w:hAnsi="Arial" w:cs="Arial"/>
                <w:sz w:val="18"/>
                <w:szCs w:val="18"/>
                <w:lang w:val="pl-PL"/>
              </w:rPr>
              <w:t>ąż</w:t>
            </w:r>
            <w:r w:rsidRPr="001C2DFA">
              <w:rPr>
                <w:rFonts w:ascii="Arial" w:hAnsi="Arial" w:cs="Arial"/>
                <w:sz w:val="18"/>
                <w:szCs w:val="18"/>
                <w:lang w:val="pl-PL"/>
              </w:rPr>
              <w:t>eniu do osi</w:t>
            </w:r>
            <w:r w:rsidRPr="001C2DFA">
              <w:rPr>
                <w:rFonts w:ascii="Arial" w:eastAsia="TTE19FF810t00" w:hAnsi="Arial" w:cs="Arial"/>
                <w:sz w:val="18"/>
                <w:szCs w:val="18"/>
                <w:lang w:val="pl-PL"/>
              </w:rPr>
              <w:t>ą</w:t>
            </w:r>
            <w:r w:rsidRPr="001C2DFA">
              <w:rPr>
                <w:rFonts w:ascii="Arial" w:hAnsi="Arial" w:cs="Arial"/>
                <w:sz w:val="18"/>
                <w:szCs w:val="18"/>
                <w:lang w:val="pl-PL"/>
              </w:rPr>
              <w:t>gni</w:t>
            </w:r>
            <w:r w:rsidRPr="001C2DFA">
              <w:rPr>
                <w:rFonts w:ascii="Arial" w:eastAsia="TTE19FF810t00" w:hAnsi="Arial" w:cs="Arial"/>
                <w:sz w:val="18"/>
                <w:szCs w:val="18"/>
                <w:lang w:val="pl-PL"/>
              </w:rPr>
              <w:t>ę</w:t>
            </w:r>
            <w:r w:rsidRPr="001C2DFA">
              <w:rPr>
                <w:rFonts w:ascii="Arial" w:hAnsi="Arial" w:cs="Arial"/>
                <w:sz w:val="18"/>
                <w:szCs w:val="18"/>
                <w:lang w:val="pl-PL"/>
              </w:rPr>
              <w:t>cia mo</w:t>
            </w:r>
            <w:r w:rsidRPr="001C2DFA">
              <w:rPr>
                <w:rFonts w:ascii="Arial" w:eastAsia="TTE19FF810t00" w:hAnsi="Arial" w:cs="Arial"/>
                <w:sz w:val="18"/>
                <w:szCs w:val="18"/>
                <w:lang w:val="pl-PL"/>
              </w:rPr>
              <w:t>ż</w:t>
            </w:r>
            <w:r w:rsidRPr="001C2DFA">
              <w:rPr>
                <w:rFonts w:ascii="Arial" w:hAnsi="Arial" w:cs="Arial"/>
                <w:sz w:val="18"/>
                <w:szCs w:val="18"/>
                <w:lang w:val="pl-PL"/>
              </w:rPr>
              <w:t>liwie najlepszych efektów w realizacji zada</w:t>
            </w:r>
            <w:r w:rsidRPr="001C2DFA">
              <w:rPr>
                <w:rFonts w:ascii="Arial" w:eastAsia="TTE19FF810t00" w:hAnsi="Arial" w:cs="Arial"/>
                <w:sz w:val="18"/>
                <w:szCs w:val="18"/>
                <w:lang w:val="pl-PL"/>
              </w:rPr>
              <w:t xml:space="preserve">ń </w:t>
            </w:r>
            <w:r w:rsidRPr="001C2DFA">
              <w:rPr>
                <w:rFonts w:ascii="Arial" w:hAnsi="Arial" w:cs="Arial"/>
                <w:sz w:val="18"/>
                <w:szCs w:val="18"/>
                <w:lang w:val="pl-PL"/>
              </w:rPr>
              <w:t>publicznych</w:t>
            </w:r>
            <w:r w:rsidRPr="001C2DFA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, w tym angażowanie na wczesnych etapach prac</w:t>
            </w:r>
            <w:r w:rsidRPr="001C2DFA">
              <w:rPr>
                <w:rFonts w:ascii="Arial" w:hAnsi="Arial" w:cs="Arial"/>
                <w:sz w:val="18"/>
                <w:szCs w:val="18"/>
                <w:lang w:val="pl-PL"/>
              </w:rPr>
              <w:t>;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A" w:rsidRPr="001C2DFA" w:rsidRDefault="001C2DFA" w:rsidP="001C2DFA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N</w:t>
            </w:r>
            <w:r w:rsidRPr="001C2DFA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iniejsza propozycja to doprecyzowanie już stosowanych zasad współpracy w ramach Małopolskiej Rady Działalności Pożytku Publicznego (dalej: MRDPP) w kadencji 2023-2025. Ma na celu utrzymanie niniejszych zasad w każdej kadencji i jednocześnie zwrócenie uwagi na ograniczoną dostępność zasobów obu stron Programu Współpracy, a w szczególności partnerów spoza sektora administracji.</w:t>
            </w:r>
            <w:r w:rsidRPr="001C2DFA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 xml:space="preserve"> </w:t>
            </w:r>
          </w:p>
        </w:tc>
      </w:tr>
      <w:tr w:rsidR="001C2DFA" w:rsidRPr="0005030C" w:rsidTr="00717B7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A" w:rsidRPr="00717B73" w:rsidRDefault="00717B7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</w:pPr>
            <w:r w:rsidRPr="00717B73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A" w:rsidRPr="001C2DFA" w:rsidRDefault="001C2DFA" w:rsidP="001C2DFA">
            <w:pPr>
              <w:suppressAutoHyphens w:val="0"/>
              <w:autoSpaceDN/>
              <w:spacing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</w:pPr>
            <w:r w:rsidRPr="001C2DFA"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  <w:t>§ 5 ust. 2 pkt. 4:</w:t>
            </w:r>
          </w:p>
          <w:p w:rsidR="001C2DFA" w:rsidRPr="004214BE" w:rsidRDefault="001C2DFA" w:rsidP="001C2DFA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1C2DFA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opiniowanie i konsultowanie opracowań, programów oraz projektów aktów normatywnych w dziedzinach stanowiących obszary wzajemnych zainteresowań;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A" w:rsidRPr="001C2DFA" w:rsidRDefault="001C2DFA" w:rsidP="001C2DFA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1C2DFA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Zmiana brzmienia § 5 ust. 2 pkt. 4:</w:t>
            </w:r>
          </w:p>
          <w:p w:rsidR="001C2DFA" w:rsidRPr="004214BE" w:rsidRDefault="001C2DFA" w:rsidP="001C2DFA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1C2DFA">
              <w:rPr>
                <w:rFonts w:ascii="Arial" w:hAnsi="Arial" w:cs="Arial"/>
                <w:sz w:val="18"/>
                <w:szCs w:val="18"/>
                <w:lang w:val="pl-PL"/>
              </w:rPr>
              <w:t>4) opiniowanie i konsultowanie opracowa</w:t>
            </w:r>
            <w:r w:rsidRPr="001C2DFA">
              <w:rPr>
                <w:rFonts w:ascii="Arial" w:eastAsia="TTE19FF810t00" w:hAnsi="Arial" w:cs="Arial"/>
                <w:sz w:val="18"/>
                <w:szCs w:val="18"/>
                <w:lang w:val="pl-PL"/>
              </w:rPr>
              <w:t>ń</w:t>
            </w:r>
            <w:r w:rsidRPr="001C2DFA">
              <w:rPr>
                <w:rFonts w:ascii="Arial" w:hAnsi="Arial" w:cs="Arial"/>
                <w:sz w:val="18"/>
                <w:szCs w:val="18"/>
                <w:lang w:val="pl-PL"/>
              </w:rPr>
              <w:t>, programów oraz projektów aktów normatywnych w dziedzinach stanowi</w:t>
            </w:r>
            <w:r w:rsidRPr="001C2DFA">
              <w:rPr>
                <w:rFonts w:ascii="Arial" w:eastAsia="TTE19FF810t00" w:hAnsi="Arial" w:cs="Arial"/>
                <w:sz w:val="18"/>
                <w:szCs w:val="18"/>
                <w:lang w:val="pl-PL"/>
              </w:rPr>
              <w:t>ą</w:t>
            </w:r>
            <w:r w:rsidRPr="001C2DFA">
              <w:rPr>
                <w:rFonts w:ascii="Arial" w:hAnsi="Arial" w:cs="Arial"/>
                <w:sz w:val="18"/>
                <w:szCs w:val="18"/>
                <w:lang w:val="pl-PL"/>
              </w:rPr>
              <w:t>cych obszary wzajemnych zainteresowa</w:t>
            </w:r>
            <w:r w:rsidRPr="001C2DFA">
              <w:rPr>
                <w:rFonts w:ascii="Arial" w:eastAsia="TTE19FF810t00" w:hAnsi="Arial" w:cs="Arial"/>
                <w:sz w:val="18"/>
                <w:szCs w:val="18"/>
                <w:lang w:val="pl-PL"/>
              </w:rPr>
              <w:t xml:space="preserve">ń </w:t>
            </w:r>
            <w:r w:rsidRPr="001C2DFA">
              <w:rPr>
                <w:rFonts w:ascii="Arial" w:eastAsia="TTE19FF810t00" w:hAnsi="Arial" w:cs="Arial"/>
                <w:color w:val="FF0000"/>
                <w:sz w:val="18"/>
                <w:szCs w:val="18"/>
                <w:lang w:val="pl-PL"/>
              </w:rPr>
              <w:t>– w tym zaangażowanie w prace zespołów i grup roboczych, w szczególności międzysektorowych</w:t>
            </w:r>
            <w:r w:rsidRPr="001C2DFA">
              <w:rPr>
                <w:rFonts w:ascii="Arial" w:hAnsi="Arial" w:cs="Arial"/>
                <w:sz w:val="18"/>
                <w:szCs w:val="18"/>
                <w:lang w:val="pl-PL"/>
              </w:rPr>
              <w:t>;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A" w:rsidRPr="001C2DFA" w:rsidRDefault="001C2DFA" w:rsidP="001C2DFA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N</w:t>
            </w:r>
            <w:r w:rsidRPr="001C2DFA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iniejsza propozycja to spójność z zasadą efektywności z paragrafu 3 pkt 3. Nie ma wątpliwości, że angażowanie wszystkich partnerów, choćby potencjalnie zainteresowanych bądź na których wpływ mają bądź mogą mieć opracowywane propozycje i/bądź dokumenty o charakterze strategicznym, polityk publicznych, regulacji prawnych, sprzyja kompletności, szerokiemu spojrzeniu na opracowywane zagadnienie, jak również na zaangażowanie odbiorców/beneficjentów w ich skuteczną realizację na etapie wdrażania.</w:t>
            </w:r>
          </w:p>
        </w:tc>
      </w:tr>
      <w:tr w:rsidR="001C2DFA" w:rsidRPr="0005030C" w:rsidTr="00717B7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A" w:rsidRPr="00717B73" w:rsidRDefault="00717B7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ED" w:rsidRPr="004A71ED" w:rsidRDefault="004A71ED" w:rsidP="004A71ED">
            <w:pPr>
              <w:suppressAutoHyphens w:val="0"/>
              <w:autoSpaceDN/>
              <w:spacing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</w:pPr>
            <w:r w:rsidRPr="004A71ED"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  <w:t>§ 5 ust. 2 pkt. 5:</w:t>
            </w:r>
          </w:p>
          <w:p w:rsidR="001C2DFA" w:rsidRPr="004214BE" w:rsidRDefault="004A71ED" w:rsidP="004A71ED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A71ED">
              <w:rPr>
                <w:rFonts w:ascii="Arial" w:hAnsi="Arial" w:cs="Arial"/>
                <w:sz w:val="18"/>
                <w:szCs w:val="18"/>
                <w:lang w:val="pl-PL"/>
              </w:rPr>
              <w:t>tworzenie wspólnych zespołów i komisji o charakterze doradczym i konsultacyjnym;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ED" w:rsidRPr="004A71ED" w:rsidRDefault="004A71ED" w:rsidP="004A71ED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4A71ED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Zmiana brzmienia § 5 ust. 2 pkt. 5:</w:t>
            </w:r>
          </w:p>
          <w:p w:rsidR="004A71ED" w:rsidRPr="004A71ED" w:rsidRDefault="004A71ED" w:rsidP="004A71ED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A71ED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 xml:space="preserve">5) </w:t>
            </w:r>
            <w:r w:rsidRPr="004A71ED">
              <w:rPr>
                <w:rFonts w:ascii="Arial" w:hAnsi="Arial" w:cs="Arial"/>
                <w:sz w:val="18"/>
                <w:szCs w:val="18"/>
                <w:lang w:val="pl-PL"/>
              </w:rPr>
              <w:t>tworzenie wspólnych zespołów i komisji o charakterze doradczym i konsultacyjnym</w:t>
            </w:r>
            <w:r w:rsidRPr="004A71ED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, inicjowane przez obie strony</w:t>
            </w:r>
            <w:r w:rsidRPr="004A71ED">
              <w:rPr>
                <w:rFonts w:ascii="Arial" w:hAnsi="Arial" w:cs="Arial"/>
                <w:sz w:val="18"/>
                <w:szCs w:val="18"/>
                <w:lang w:val="pl-PL"/>
              </w:rPr>
              <w:t>;</w:t>
            </w:r>
          </w:p>
          <w:p w:rsidR="001C2DFA" w:rsidRPr="004214BE" w:rsidRDefault="001C2DFA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A" w:rsidRPr="004A71ED" w:rsidRDefault="004A71ED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N</w:t>
            </w:r>
            <w:r w:rsidRPr="004A71ED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iniejsza propozycja jest uregulowaniem wypracowanej w MRDPP 2023-2025 praktyki wspólnego pochylania się nad kwestiami zgłaszanymi jako ważne z perspektywy współpracy z organizacjami pozarządowymi Małopolski. Pragniemy dla osób zapoznających się z Programem Współpracy wysłać czytelny sygnał, że MRDPP jest dynamicznym ciałem dialogu, dzięki czemu może zwiększyć się zainteresowanie jego pracami oraz samym Programem.</w:t>
            </w:r>
          </w:p>
        </w:tc>
      </w:tr>
      <w:tr w:rsidR="001C2DFA" w:rsidRPr="0005030C" w:rsidTr="00717B7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A" w:rsidRPr="00717B73" w:rsidRDefault="00717B7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ED" w:rsidRPr="004A71ED" w:rsidRDefault="004A71ED" w:rsidP="004A71ED">
            <w:pPr>
              <w:suppressAutoHyphens w:val="0"/>
              <w:autoSpaceDN/>
              <w:spacing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</w:pPr>
            <w:r w:rsidRPr="004A71ED"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  <w:t>§ 5 ust. 2 pkt. 10:</w:t>
            </w:r>
          </w:p>
          <w:p w:rsidR="001C2DFA" w:rsidRPr="004214BE" w:rsidRDefault="004A71ED" w:rsidP="004A71ED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A71ED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promocje dobrych przykładów;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ED" w:rsidRPr="004A71ED" w:rsidRDefault="004A71ED" w:rsidP="004A71ED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4A71ED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Zmiana brzmienia § 5 ust. 2 pkt. 10:</w:t>
            </w:r>
          </w:p>
          <w:p w:rsidR="004A71ED" w:rsidRPr="004A71ED" w:rsidRDefault="004A71ED" w:rsidP="004A71ED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A71ED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 xml:space="preserve">10) </w:t>
            </w:r>
            <w:r w:rsidRPr="004A71ED">
              <w:rPr>
                <w:rFonts w:ascii="Arial" w:hAnsi="Arial" w:cs="Arial"/>
                <w:sz w:val="18"/>
                <w:szCs w:val="18"/>
                <w:lang w:val="pl-PL"/>
              </w:rPr>
              <w:t>promocje dobrych przykładów</w:t>
            </w:r>
            <w:r w:rsidRPr="004A71ED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, w tym promowanie zaangażowania małopolskich samorządowców na rzecz współpracy z organizacjami pozarządowymi – Nagroda Roczna</w:t>
            </w:r>
            <w:r w:rsidRPr="004A71ED">
              <w:rPr>
                <w:rFonts w:ascii="Arial" w:hAnsi="Arial" w:cs="Arial"/>
                <w:sz w:val="18"/>
                <w:szCs w:val="18"/>
                <w:lang w:val="pl-PL"/>
              </w:rPr>
              <w:t>;</w:t>
            </w:r>
          </w:p>
          <w:p w:rsidR="001C2DFA" w:rsidRPr="004214BE" w:rsidRDefault="001C2DFA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A" w:rsidRPr="006C7D2C" w:rsidRDefault="006C7D2C" w:rsidP="006C7D2C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6C7D2C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Nagroda miałaby na celu wspieranie i rozpowszechnianie</w:t>
            </w:r>
            <w:r w:rsidR="004A71ED" w:rsidRPr="006C7D2C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 xml:space="preserve"> dobrych praktyk w zakresie współpracy i wspierania organizacji pozarządowych w gminach i powiatach Województwa Małopolskiego. Nic tak nie przemawia do wyobraźni zar</w:t>
            </w:r>
            <w:bookmarkStart w:id="0" w:name="_GoBack"/>
            <w:bookmarkEnd w:id="0"/>
            <w:r w:rsidR="004A71ED" w:rsidRPr="006C7D2C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ówno JST jak i NGO, jak pokazanie na żywym przykładzie, jak może się udać dialog i rozwój społeczeństwa obywatelskiego w danym miejscu. Nagroda (np. pieniężna na wspólny projekt, statuetka) mają dać impuls do dalszego rozwoju idei współpracy międzysektorowej w Małopolsce. Obecnie mamy już nagrody dla NGO, mamy nagrody dla darczyńców – nagroda dla JST to brakujące ogniwo tego łańcucha wsparcia.</w:t>
            </w:r>
          </w:p>
        </w:tc>
      </w:tr>
      <w:tr w:rsidR="001C2DFA" w:rsidRPr="0005030C" w:rsidTr="00717B7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A" w:rsidRPr="00717B73" w:rsidRDefault="00717B7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A" w:rsidRPr="004214BE" w:rsidRDefault="004A71ED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A71ED"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  <w:t xml:space="preserve">§ 6 ust. 7: </w:t>
            </w:r>
            <w:r w:rsidRPr="004A71ED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W zakresie nauki, szkolnictwa wyższego, edukacji, oświaty i wychowania, m.in.: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ED" w:rsidRPr="004A71ED" w:rsidRDefault="004A71ED" w:rsidP="004A71ED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4A71ED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Dodanie w § 6 ust. 7 pkt. 16 i 17 w brzmieniu:</w:t>
            </w:r>
          </w:p>
          <w:p w:rsidR="004A71ED" w:rsidRPr="004A71ED" w:rsidRDefault="004A71ED" w:rsidP="004A71ED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A71ED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 xml:space="preserve">16) kształtowanie świadomości na temat zdrowia psychicznego, neuroróżnorodności. </w:t>
            </w:r>
          </w:p>
          <w:p w:rsidR="001C2DFA" w:rsidRPr="004214BE" w:rsidRDefault="004A71ED" w:rsidP="004A71ED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A71ED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17) wspieranie działań na rzecz wzmocnienia potencjału dzieci, młodzieży i dorosłych w spektrum neuroróżnodności, poprzez różnorodne inicjatywy edukacyjne, szkolenia, warsztaty, zajęcia, spotkania itp. budujące potencjał rozwojowy osób w spektrum neuroróżnorodności, z wykorzystaniem nowoczesnych i angażujących narzędzi edukacyjnych.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ED" w:rsidRPr="004A71ED" w:rsidRDefault="009E252A" w:rsidP="004A71ED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K</w:t>
            </w:r>
            <w:r w:rsidR="004A71ED" w:rsidRPr="004A71ED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 xml:space="preserve">westie związane z neuroróżnorodnością dzieci, młodzieży i dorosłych wybrzmiewają coraz głośniej w przestrzeni publicznej. To względnie nowe podejście do tematu takich schorzeń neurologicznych, jak autyzm, Asperger, ADHD (obecnie mówi się o zjawisku spektrum tych chorób – tj. że nie ma jednego typu schorzenia, a różne natężenia). Naukowcy są zgodni, że nie jest to coś, z czego się wyrasta. Tym samym osoba zmagająca się z takim schorzeniem może jedynie łagodzić objawy farmakologicznie albo poprzez wypracowanie nowych metod działania, które pozwolą jej funkcjonować w społeczeństwie bez ubocznych kosztów dostosowania do neurotypowych sąsiadów. Nie zdiagnozowane w dzieciństwie osoby (głównie dziewczynki, ze względu na wypracowywane sposoby markowania deficytów) w ramach kosztów adaptacji mogą w dorosłym wieku mierzyć się (i jest to niestety częsta przypadłość) z depresją, zaburzeniami lękowymi. Schorzenia te o podłożu neurologicznym (tj. np. w ADHD zmniejszona wrażliwość neuroprzekaźników na dopaminę) utrudniają znacząco zdrowe funkcjonowanie w społeczeństwie, nie pozwalają takim osobom – niezależnie od płci – na rozwinięcie swoich uzdolnień i możliwości. Tam bowiem gdzie pojawia się brak, natura zwykła to równoważyć. Dodatkowo społeczeństwo nadal mierzy się z utrwalonymi stereotypami dla tych schorzeń, co stygmatyzuje niepotrzebnie już i tak obciążonych uczniów, ich rodziców, nauczycieli, dorosłych. Często oznacza to, że zamiast się zdiagnozować i leczyć, w poczuciu możliwego odrzucenia przez lokalne społeczności, rezygnuje się z tego. A tymczasem wczesna diagnoza pozwala wypracować, wytrenować praktyki usprawniające radzenie sobie z dekoncentracją, z dystraktorami, z brakiem poczucia czasu. </w:t>
            </w:r>
          </w:p>
          <w:p w:rsidR="001C2DFA" w:rsidRPr="004A71ED" w:rsidRDefault="004A71ED" w:rsidP="004A71ED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A71ED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Jak widać oznacza to bieżącą potrzebę tworzenia przestrzeni dla wsparcia działań na poziomie szkół, grup wsparcia poza nimi, dla dzieci i dorosłych, nie noszących znamienia wsparcia psychologicznego, a bazujących na działaniach wspierających takie osoby w zakresie budowania poczucia odpowiedzialności, własnej wartości, poprzez ćwiczenie koncentracji, kreatywności, sposobu lepszej komunikacji, ale także działań świadomościowych związanych z tymi chorobami. W Małopolsce funkcjonują już organizacje, które</w:t>
            </w:r>
            <w:r w:rsidRPr="004A71ED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 xml:space="preserve"> </w:t>
            </w:r>
            <w:r w:rsidRPr="004A71ED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z całą pewnością mogą podjąć tego typu wyzwanie.</w:t>
            </w:r>
          </w:p>
        </w:tc>
      </w:tr>
      <w:tr w:rsidR="004A71ED" w:rsidRPr="0005030C" w:rsidTr="00717B7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ED" w:rsidRPr="00717B73" w:rsidRDefault="00717B7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ED" w:rsidRPr="004A71ED" w:rsidRDefault="004A71ED" w:rsidP="004A71ED">
            <w:pPr>
              <w:suppressAutoHyphens w:val="0"/>
              <w:autoSpaceDN/>
              <w:spacing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4A71ED"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  <w:t xml:space="preserve">§ 6 ust. 10: </w:t>
            </w:r>
            <w:r w:rsidRPr="004A71ED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W zakresie ekologii i ochrony zwierząt oraz ochrony dziedzictwa przyrodniczego, m.in.:</w:t>
            </w:r>
          </w:p>
          <w:p w:rsidR="004A71ED" w:rsidRPr="004214BE" w:rsidRDefault="004A71ED" w:rsidP="004A71ED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A71ED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1) służące czynnej ochronie różnorodności biologicznej na terenie Województwa Małopolskiego, poprzez m.in. wypas kulturowy zwierząt trawożernych, zapylanie przez pszczoły oraz oddziaływanie zapylaczy na rośliny stanowiące dziedzictwo agrarne Małopolski, w tym rośliny stanowiące bogactwo genetyczne regionu, w szczególności poprzez nasadzenia lub zasiewy roślin miododajnych lub pyłkodajnych;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ED" w:rsidRPr="004A71ED" w:rsidRDefault="004A71ED" w:rsidP="004A71ED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4A71ED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Zmiana brzmienia § 6 ust. 10 pkt. 1:</w:t>
            </w:r>
          </w:p>
          <w:p w:rsidR="004A71ED" w:rsidRPr="004A71ED" w:rsidRDefault="004A71ED" w:rsidP="004A71ED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A71ED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 xml:space="preserve">1) </w:t>
            </w:r>
            <w:r w:rsidRPr="004A71ED">
              <w:rPr>
                <w:rFonts w:ascii="Arial" w:hAnsi="Arial" w:cs="Arial"/>
                <w:sz w:val="18"/>
                <w:szCs w:val="18"/>
                <w:lang w:val="pl-PL"/>
              </w:rPr>
              <w:t xml:space="preserve">służące czynnej ochronie różnorodności biologicznej na terenie Województwa Małopolskiego, poprzez m.in. wypas kulturowy zwierząt trawożernych, zapylanie przez pszczoły </w:t>
            </w:r>
            <w:r w:rsidRPr="004A71ED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 xml:space="preserve">i dzikich zapylaczy (dzikie pszczoły, trzmiele, motyle dzienne i nocne, inne) </w:t>
            </w:r>
            <w:r w:rsidRPr="004A71ED">
              <w:rPr>
                <w:rFonts w:ascii="Arial" w:hAnsi="Arial" w:cs="Arial"/>
                <w:sz w:val="18"/>
                <w:szCs w:val="18"/>
                <w:lang w:val="pl-PL"/>
              </w:rPr>
              <w:t xml:space="preserve">oraz oddziaływanie zapylaczy na rośliny stanowiące dziedzictwo agrarne </w:t>
            </w:r>
            <w:r w:rsidRPr="004A71ED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 xml:space="preserve">i przyrodnicze </w:t>
            </w:r>
            <w:r w:rsidRPr="004A71ED">
              <w:rPr>
                <w:rFonts w:ascii="Arial" w:hAnsi="Arial" w:cs="Arial"/>
                <w:sz w:val="18"/>
                <w:szCs w:val="18"/>
                <w:lang w:val="pl-PL"/>
              </w:rPr>
              <w:t>Małopolski, w tym rośliny stanowiące bogactwo genetyczne regionu, w szczególności poprzez nasadzenia lub zasiewy roślin miododajnych lub pyłkodajnych;</w:t>
            </w:r>
          </w:p>
          <w:p w:rsidR="004A71ED" w:rsidRPr="004214BE" w:rsidRDefault="004A71ED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ED" w:rsidRPr="004A71ED" w:rsidRDefault="009E252A" w:rsidP="004A71ED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N</w:t>
            </w:r>
            <w:r w:rsidR="004A71ED" w:rsidRPr="004A71ED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iniejsza propozycja to de facto uporządkowanie zapisów dotyczących owadów, które w Małopolsce – podobnie jak i w całej Polsce – są owadami zapylającymi. Jednocześnie poszerzono dziedzictwo o słowo „przyrodnicze” aby dać przestrzeń do działania również tym organizacjom, które nie są bezpośrednio związane z rolnictwem.</w:t>
            </w:r>
          </w:p>
          <w:p w:rsidR="004A71ED" w:rsidRPr="004A71ED" w:rsidRDefault="004A71ED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</w:p>
        </w:tc>
      </w:tr>
      <w:tr w:rsidR="004A71ED" w:rsidRPr="0005030C" w:rsidTr="00717B7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ED" w:rsidRPr="00717B73" w:rsidRDefault="00717B7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2A" w:rsidRPr="009E252A" w:rsidRDefault="009E252A" w:rsidP="009E252A">
            <w:pPr>
              <w:suppressAutoHyphens w:val="0"/>
              <w:autoSpaceDN/>
              <w:spacing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9E252A"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  <w:t xml:space="preserve">§ 6 ust. 10: </w:t>
            </w:r>
            <w:r w:rsidRPr="009E252A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W zakresie ekologii i ochrony zwierząt oraz ochrony dziedzictwa przyrodniczego, m.in.:</w:t>
            </w:r>
          </w:p>
          <w:p w:rsidR="004A71ED" w:rsidRPr="004214BE" w:rsidRDefault="009E252A" w:rsidP="009E252A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9E252A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2) służące ochronie różnorodności biologicznej pszczół miododajnych i dzikich owadów zapylających, pielęgnacji cennych przyrodniczo i krajobrazowo siedlisk roślin, m.in. przez zapobieganie sukcesji wtórnej, ekspansji niepożądanej roślinności oraz zasiew lub nasadzenia roślin miododajnych lub pyłkodajnych;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2A" w:rsidRPr="009E252A" w:rsidRDefault="009E252A" w:rsidP="009E252A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9E252A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Zmiana brzmienia § 6 ust. 10 pkt. 2:</w:t>
            </w:r>
          </w:p>
          <w:p w:rsidR="009E252A" w:rsidRPr="009E252A" w:rsidRDefault="009E252A" w:rsidP="009E252A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E252A">
              <w:rPr>
                <w:rFonts w:ascii="Arial" w:hAnsi="Arial" w:cs="Arial"/>
                <w:sz w:val="18"/>
                <w:szCs w:val="18"/>
                <w:lang w:val="pl-PL"/>
              </w:rPr>
              <w:t xml:space="preserve">2) służące ochronie różnorodności biologicznej pszczół miododajnych i dzikich </w:t>
            </w:r>
            <w:r w:rsidRPr="009E252A">
              <w:rPr>
                <w:rFonts w:ascii="Arial" w:hAnsi="Arial" w:cs="Arial"/>
                <w:strike/>
                <w:color w:val="FF0000"/>
                <w:sz w:val="18"/>
                <w:szCs w:val="18"/>
                <w:lang w:val="pl-PL"/>
              </w:rPr>
              <w:t>owadów zapylających</w:t>
            </w:r>
            <w:r w:rsidRPr="009E252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9E252A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zapylaczy</w:t>
            </w:r>
            <w:r w:rsidRPr="009E252A">
              <w:rPr>
                <w:rFonts w:ascii="Arial" w:hAnsi="Arial" w:cs="Arial"/>
                <w:sz w:val="18"/>
                <w:szCs w:val="18"/>
                <w:lang w:val="pl-PL"/>
              </w:rPr>
              <w:t xml:space="preserve">, pielęgnacji cennych przyrodniczo i krajobrazowo siedlisk roślin, m.in. przez zapobieganie sukcesji wtórnej, ekspansji niepożądanej roślinności </w:t>
            </w:r>
            <w:r w:rsidRPr="009E252A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 xml:space="preserve">inwazyjnej (IGO) </w:t>
            </w:r>
            <w:r w:rsidRPr="009E252A">
              <w:rPr>
                <w:rFonts w:ascii="Arial" w:hAnsi="Arial" w:cs="Arial"/>
                <w:sz w:val="18"/>
                <w:szCs w:val="18"/>
                <w:lang w:val="pl-PL"/>
              </w:rPr>
              <w:t>oraz zasiew lub nasadzenia roślin miododajnych lub pyłkodajnych</w:t>
            </w:r>
            <w:r w:rsidRPr="009E252A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, wzbogacających bioróżnorodność świata roślin, zwierząt, życia glebowego itp.</w:t>
            </w:r>
            <w:r w:rsidRPr="009E252A">
              <w:rPr>
                <w:rFonts w:ascii="Arial" w:hAnsi="Arial" w:cs="Arial"/>
                <w:sz w:val="18"/>
                <w:szCs w:val="18"/>
                <w:lang w:val="pl-PL"/>
              </w:rPr>
              <w:t>;</w:t>
            </w:r>
          </w:p>
          <w:p w:rsidR="004A71ED" w:rsidRPr="004214BE" w:rsidRDefault="004A71ED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ED" w:rsidRPr="009E252A" w:rsidRDefault="009E252A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N</w:t>
            </w:r>
            <w:r w:rsidRPr="009E252A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iniejsza propozycja doprecyzowuje kwestię zapylaczy, niepożądanej roślinności inwazyjnej (IGO) oraz wpływu pożądanej roślinności na obszary świata ożywionego i nieożywionego.</w:t>
            </w:r>
          </w:p>
        </w:tc>
      </w:tr>
      <w:tr w:rsidR="004A71ED" w:rsidRPr="0005030C" w:rsidTr="00717B7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ED" w:rsidRPr="00717B73" w:rsidRDefault="00717B7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2A" w:rsidRPr="009E252A" w:rsidRDefault="009E252A" w:rsidP="009E252A">
            <w:pPr>
              <w:suppressAutoHyphens w:val="0"/>
              <w:autoSpaceDN/>
              <w:spacing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9E252A"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  <w:t xml:space="preserve">§ 6 ust. 10: </w:t>
            </w:r>
            <w:r w:rsidRPr="009E252A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W zakresie ekologii i ochrony zwierząt oraz ochrony dziedzictwa przyrodniczego, m.in.:</w:t>
            </w:r>
          </w:p>
          <w:p w:rsidR="004A71ED" w:rsidRPr="004214BE" w:rsidRDefault="009E252A" w:rsidP="009E252A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9E252A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 xml:space="preserve">3) </w:t>
            </w:r>
            <w:r w:rsidRPr="009E252A">
              <w:rPr>
                <w:rFonts w:ascii="Arial" w:hAnsi="Arial" w:cs="Arial"/>
                <w:sz w:val="18"/>
                <w:szCs w:val="18"/>
                <w:lang w:val="pl-PL"/>
              </w:rPr>
              <w:t>działania edukacyjne polegające m.in. na prowadzeniu szkoleń i edukacji ekologicznej dzieci, młodzieży i dorosłych w zakresie ochrony różnorodności biologi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cznej, ekologii </w:t>
            </w:r>
            <w:r w:rsidRPr="009E252A">
              <w:rPr>
                <w:rFonts w:ascii="Arial" w:hAnsi="Arial" w:cs="Arial"/>
                <w:sz w:val="18"/>
                <w:szCs w:val="18"/>
                <w:lang w:val="pl-PL"/>
              </w:rPr>
              <w:t>i znaczenia owadów zapylających oraz wypasu kul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turowego zwierząt trawożernych </w:t>
            </w:r>
            <w:r w:rsidRPr="009E252A">
              <w:rPr>
                <w:rFonts w:ascii="Arial" w:hAnsi="Arial" w:cs="Arial"/>
                <w:sz w:val="18"/>
                <w:szCs w:val="18"/>
                <w:lang w:val="pl-PL"/>
              </w:rPr>
              <w:t>i ich zastosowania jako tradycyjnych form gospodarowania na obszarach wiejskich;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2A" w:rsidRPr="009E252A" w:rsidRDefault="009E252A" w:rsidP="009E252A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9E252A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Zmiana brzmienia § 6 ust. 10 pkt. 3:</w:t>
            </w:r>
          </w:p>
          <w:p w:rsidR="004A71ED" w:rsidRPr="004214BE" w:rsidRDefault="009E252A" w:rsidP="009E252A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9E252A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 xml:space="preserve">3) </w:t>
            </w:r>
            <w:r w:rsidRPr="009E252A">
              <w:rPr>
                <w:rFonts w:ascii="Arial" w:hAnsi="Arial" w:cs="Arial"/>
                <w:sz w:val="18"/>
                <w:szCs w:val="18"/>
                <w:lang w:val="pl-PL"/>
              </w:rPr>
              <w:t>działania edukacyjne polegające m.in. na prowadzeniu szkoleń i edukacji ekologicznej dzieci, młodzieży i dorosłych w zakresie ochrony różnor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odności biologicznej, ekologii </w:t>
            </w:r>
            <w:r w:rsidRPr="009E252A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 xml:space="preserve">zmian klimatu oraz </w:t>
            </w:r>
            <w:r w:rsidRPr="009E252A">
              <w:rPr>
                <w:rFonts w:ascii="Arial" w:hAnsi="Arial" w:cs="Arial"/>
                <w:sz w:val="18"/>
                <w:szCs w:val="18"/>
                <w:lang w:val="pl-PL"/>
              </w:rPr>
              <w:t>znaczenia owadów zapylających oraz wypasu kulturowego zwierząt trawożernych i ich zastosowania jako tradycyjnych form gospodarowania na obszarach wiejskich;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ED" w:rsidRPr="009E252A" w:rsidRDefault="009E252A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N</w:t>
            </w:r>
            <w:r w:rsidRPr="009E252A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iniejsza propozycja uzupełnienia zapisu ma na celu zwrócenie uwagi na kwestie zmian klimatu w procesach edukacyjnych. Ma to związek z tym, że często utrwalone postrzeganie edukacji ekologicznej ogranicza się do segregacji odpadów czy ochrony pszczół jako zapylaczy. Działania te są niezmiernie ważne, ale muszą być uzupełnione o dalsze budowanie świadomości środowiskowej i zmian klimatycznych, aby budować odporne i świadome społeczeństwo.</w:t>
            </w:r>
          </w:p>
        </w:tc>
      </w:tr>
      <w:tr w:rsidR="009E252A" w:rsidRPr="0005030C" w:rsidTr="00717B7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2A" w:rsidRPr="00717B73" w:rsidRDefault="00717B7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8F1956" w:rsidRDefault="008F1956" w:rsidP="008F1956">
            <w:pPr>
              <w:suppressAutoHyphens w:val="0"/>
              <w:autoSpaceDN/>
              <w:spacing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  <w:t xml:space="preserve">§ 6 ust. 10: </w:t>
            </w: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W zakresie ekologii i ochrony zwierząt oraz ochrony dziedzictwa przyrodniczego, m.in.:</w:t>
            </w:r>
          </w:p>
          <w:p w:rsidR="009E252A" w:rsidRPr="004214BE" w:rsidRDefault="008F1956" w:rsidP="008F1956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5) służące kreowaniu zachowań wpływających na poprawę ochrony powietrza;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8F1956" w:rsidRDefault="008F1956" w:rsidP="008F1956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Zmiana brzmienia § 6 ust. 10 pkt. 5:</w:t>
            </w:r>
          </w:p>
          <w:p w:rsidR="008F1956" w:rsidRPr="008F1956" w:rsidRDefault="008F1956" w:rsidP="008F1956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 xml:space="preserve">5) </w:t>
            </w:r>
            <w:r w:rsidRPr="008F1956">
              <w:rPr>
                <w:rFonts w:ascii="Arial" w:hAnsi="Arial" w:cs="Arial"/>
                <w:sz w:val="18"/>
                <w:szCs w:val="18"/>
                <w:lang w:val="pl-PL"/>
              </w:rPr>
              <w:t>służące kreowaniu zachowań wpływających na poprawę ochrony powietrza</w:t>
            </w:r>
            <w:r w:rsidRPr="008F1956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, gleby i wody</w:t>
            </w:r>
            <w:r w:rsidRPr="008F1956">
              <w:rPr>
                <w:rFonts w:ascii="Arial" w:hAnsi="Arial" w:cs="Arial"/>
                <w:sz w:val="18"/>
                <w:szCs w:val="18"/>
                <w:lang w:val="pl-PL"/>
              </w:rPr>
              <w:t>;</w:t>
            </w:r>
          </w:p>
          <w:p w:rsidR="009E252A" w:rsidRPr="004214BE" w:rsidRDefault="009E252A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2A" w:rsidRPr="008F1956" w:rsidRDefault="008F1956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N</w:t>
            </w: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iniejsza propozycja to uzupełnienie ze wskazaniem brakujących obszarów ochrony, ważnych i stanowiących w takim ujęciu całość. Ochrona gleby to np. sprzyjanie nawożeniu, nasadzenia śródpolne (ochrona przez zwiewaniem podczas suszy wierzchniej, żyznej warstwy gleby) czy rezygnacji z nawozów o potencjalnie silnie negatywnym skutku dla zdrowia zwierząt i ludzi. Ochrona wody to mogą być zarówno techniki oszczędzania wody, gromadzenia wody deszczowej, retencja, ale także gospodarowania zasobami wodnymi podczas suszy i kreowanie przestrzeni zmniejszającej szkody podczas silnych opadów.</w:t>
            </w:r>
          </w:p>
        </w:tc>
      </w:tr>
      <w:tr w:rsidR="009E252A" w:rsidRPr="0005030C" w:rsidTr="00717B7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2A" w:rsidRPr="00717B73" w:rsidRDefault="00717B7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8F1956" w:rsidRDefault="008F1956" w:rsidP="008F1956">
            <w:pPr>
              <w:suppressAutoHyphens w:val="0"/>
              <w:autoSpaceDN/>
              <w:spacing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  <w:t xml:space="preserve">§ 6 ust. 10: </w:t>
            </w: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W zakresie ekologii i ochrony zwierząt oraz ochrony dziedzictwa przyrodniczego, m.in.:</w:t>
            </w:r>
          </w:p>
          <w:p w:rsidR="009E252A" w:rsidRPr="004214BE" w:rsidRDefault="008F1956" w:rsidP="008F1956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8F1956">
              <w:rPr>
                <w:rFonts w:ascii="Arial" w:hAnsi="Arial" w:cs="Arial"/>
                <w:sz w:val="18"/>
                <w:szCs w:val="18"/>
                <w:lang w:val="pl-PL"/>
              </w:rPr>
              <w:t>8) podnoszące świadomość na temat postępujących zmian klimatu, ich przyczyn i skutków, a także możliwych do podjęcia działań adaptacyjnych.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8F1956" w:rsidRDefault="008F1956" w:rsidP="008F1956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Zmiana brzmienia § 6 ust. 10 pkt. 8:</w:t>
            </w:r>
          </w:p>
          <w:p w:rsidR="008F1956" w:rsidRPr="008F1956" w:rsidRDefault="008F1956" w:rsidP="008F1956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sz w:val="18"/>
                <w:szCs w:val="18"/>
                <w:lang w:val="pl-PL"/>
              </w:rPr>
              <w:t>8) podnoszące świadomość na temat postępujących zmian klimatu, ich przyczyn i skutków, a także możliwych do podjęcia działań adaptacyjnych</w:t>
            </w:r>
            <w:r w:rsidRPr="008F1956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 xml:space="preserve"> i mitygacyjnych.</w:t>
            </w:r>
          </w:p>
          <w:p w:rsidR="009E252A" w:rsidRPr="004214BE" w:rsidRDefault="009E252A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8F1956" w:rsidRDefault="008F1956" w:rsidP="008F1956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„</w:t>
            </w:r>
            <w:r w:rsidRPr="008F1956"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  <w:t>Adaptacja</w:t>
            </w: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 oznacza przewidywanie szkodliwych skutków zmiany klimatu i podejmowanie odpowiednich działań, by zapobiec ewentualnym szkodom lub je zminimalizować; oznacza ona też wykorzystanie możliwości, które mogą się pojawić. Przykładami działań adaptacyjnych są zmiany w zakresie infrastruktury wielkoskalowej, takie jak budowanie obiektów chroniących przed podnoszącym się poziomem mórz, a także zmiany w zachowaniach, takie jak ograniczenie marnowania żywności przez ludzi. Zasadniczo adaptację można rozumieć jako proces dostosowywania się do bieżących i przyszłych skutków zmiany klimatu.</w:t>
            </w:r>
          </w:p>
          <w:p w:rsidR="008F1956" w:rsidRPr="008F1956" w:rsidRDefault="008F1956" w:rsidP="008F1956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  <w:t>Łagodzenie</w:t>
            </w: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 (</w:t>
            </w:r>
            <w:r w:rsidRPr="008F1956"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  <w:t>mitygacja</w:t>
            </w: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) oznacza łagodzenie skutków zmiany klimatu poprzez zapobieganie emisji gazów cieplarnianych do atmosfery lub poprzez ograniczanie tego zjawiska. Łagodzenia dokonuje się albo poprzez zmniejszenie liczby źródeł tych gazów – np. zwiększając udział energii ze źródeł odnawialnych lub ustanawiając bardziej ekologiczny system mobilności – albo poprzez zwiększone magazynowanie tych gazów, np. w wyniku rozszerzenia powierzchni lasów. Podsumowując, łagodzenie to działanie człowieka ograniczające liczbę źródeł emisji gazów cieplarnianych lub zwiększające ich pochłanianie.”</w:t>
            </w:r>
          </w:p>
          <w:p w:rsidR="008F1956" w:rsidRPr="008F1956" w:rsidRDefault="008F1956" w:rsidP="008F1956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 xml:space="preserve">Za: </w:t>
            </w:r>
            <w:hyperlink r:id="rId7" w:history="1">
              <w:r w:rsidRPr="008F1956">
                <w:rPr>
                  <w:rFonts w:ascii="Arial" w:hAnsi="Arial" w:cs="Arial"/>
                  <w:bCs/>
                  <w:iCs/>
                  <w:color w:val="0563C1"/>
                  <w:sz w:val="18"/>
                  <w:szCs w:val="18"/>
                  <w:u w:val="single"/>
                  <w:lang w:val="pl-PL"/>
                </w:rPr>
                <w:t>https://www.eea.europa.eu/pl/help/najczestsze-pytania/jaka-jest-roznica-miedzy-adaptacja</w:t>
              </w:r>
            </w:hyperlink>
          </w:p>
          <w:p w:rsidR="008F1956" w:rsidRPr="008F1956" w:rsidRDefault="008F1956" w:rsidP="008F1956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</w:p>
          <w:p w:rsidR="009E252A" w:rsidRPr="008F1956" w:rsidRDefault="008F1956" w:rsidP="008F1956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To próba choćby w minimalnym zakresie zmniejszenia wpływu i odwrócenia negatywnych tendencji. Warto upowszechniać takie rozwiązania, zwłaszcza w związku z nasilającymi się negatywnymi skutkami zmian klimatu.</w:t>
            </w:r>
          </w:p>
        </w:tc>
      </w:tr>
      <w:tr w:rsidR="009E252A" w:rsidRPr="0005030C" w:rsidTr="00717B7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2A" w:rsidRPr="00717B73" w:rsidRDefault="00717B7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8F1956" w:rsidRDefault="008F1956" w:rsidP="008F1956">
            <w:pPr>
              <w:suppressAutoHyphens w:val="0"/>
              <w:autoSpaceDN/>
              <w:spacing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  <w:t xml:space="preserve">§ 6 ust. 10: </w:t>
            </w: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W zakresie ekologii i ochrony zwierząt oraz ochrony dziedzictwa przyrodniczego, m.in.:</w:t>
            </w:r>
          </w:p>
          <w:p w:rsidR="009E252A" w:rsidRPr="004214BE" w:rsidRDefault="008F1956" w:rsidP="008F1956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brak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8F1956" w:rsidRDefault="008F1956" w:rsidP="008F1956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Dodanie w § 6 ust. 10 pkt. 9 w brzmieniu:</w:t>
            </w:r>
          </w:p>
          <w:p w:rsidR="009E252A" w:rsidRPr="008F1956" w:rsidRDefault="008F1956" w:rsidP="008F1956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Cs/>
                <w:iCs/>
                <w:color w:val="FF0000"/>
                <w:sz w:val="18"/>
                <w:szCs w:val="18"/>
                <w:lang w:val="pl-PL"/>
              </w:rPr>
              <w:t>9)</w:t>
            </w: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 xml:space="preserve"> </w:t>
            </w:r>
            <w:r w:rsidRPr="008F1956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działania edukacyjne dzieci i dorosłych, w zakresie wody – cieków wodnych, rzek, zbiorników wodnych naturalnych i sztucznych, uwarunkowań naturalnych związanych z zagrożeniem powodziowym, możliwych rozwiązań, w zakresie gospodarowania wodą w gospodarstwie domowym i rolnym, w szczególności w okresie suszy;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2A" w:rsidRPr="008F1956" w:rsidRDefault="008F1956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N</w:t>
            </w: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iniejsza propozycja ma na celu zwrócenie uwagi na kwestie wody w przestrzeni publicznej – jako zjawisko społeczne, przyrodnicze, gospodarcze. W szczególności w obszarze działań związanych z suszą i nawalnymi opadami, zagospodarowania cieków wodnych, rowów melioracyjnych, co ma istotny wpływ na obecność wody w sezonie wegetatywnym na obszarach rolnych.</w:t>
            </w:r>
          </w:p>
        </w:tc>
      </w:tr>
      <w:tr w:rsidR="004A71ED" w:rsidRPr="0005030C" w:rsidTr="00717B7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ED" w:rsidRPr="00717B73" w:rsidRDefault="00717B7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8F1956" w:rsidRDefault="008F1956" w:rsidP="008F1956">
            <w:pPr>
              <w:suppressAutoHyphens w:val="0"/>
              <w:autoSpaceDN/>
              <w:spacing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  <w:t xml:space="preserve">§ 6 ust. 10: </w:t>
            </w: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W zakresie ekologii i ochrony zwierząt oraz ochrony dziedzictwa przyrodniczego, m.in.:</w:t>
            </w:r>
          </w:p>
          <w:p w:rsidR="004A71ED" w:rsidRPr="004214BE" w:rsidRDefault="008F1956" w:rsidP="008F1956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brak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8F1956" w:rsidRDefault="008F1956" w:rsidP="008F1956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Dodanie w § 6 ust. 10 pkt. 10 w brzmieniu:</w:t>
            </w:r>
          </w:p>
          <w:p w:rsidR="008F1956" w:rsidRPr="008F1956" w:rsidRDefault="008F1956" w:rsidP="008F1956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Cs/>
                <w:iCs/>
                <w:color w:val="FF0000"/>
                <w:sz w:val="18"/>
                <w:szCs w:val="18"/>
                <w:lang w:val="pl-PL"/>
              </w:rPr>
              <w:t xml:space="preserve">10) </w:t>
            </w:r>
            <w:r w:rsidRPr="008F1956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służące kreowaniu zachowań wpływających na prawidłowe gospodarowanie wodą, w tym wodą deszczową;</w:t>
            </w:r>
          </w:p>
          <w:p w:rsidR="004A71ED" w:rsidRPr="004214BE" w:rsidRDefault="004A71ED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ED" w:rsidRPr="008F1956" w:rsidRDefault="008F1956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T</w:t>
            </w: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emat deszczówki, jako wartościowych, choć nieprzewidywalnych zasobów, wody, jest coraz częściej obecny w przestrzeni publicznej. Mamy takie programy jak Małopolska Deszczówka, które sprzyjają zainteresowaniu zbieraniu deszczówki i gromadzeniu jej np. do podlewania roślin w okresach suszy (choć niestety tylko kiedy nie są one długotrwałe). Nadal jednak nie mamy wypracowanych nawyków oszczędzania wody, czy też nie używania wody pitnej do np. mycia samochodów. Z tematyką dostępności wody, w szczególności deszczowej, wiążą się również kwestie odpowiedniego doboru roślinności do ogrodów (aby nie wymuszały one stałego i intensywnego nawadniania), zatrzymywania jej w przestrzeni prywatnej i publicznej, różnorakie sposoby jej wykorzystywania.</w:t>
            </w:r>
          </w:p>
        </w:tc>
      </w:tr>
      <w:tr w:rsidR="008F1956" w:rsidRPr="0005030C" w:rsidTr="00717B7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717B73" w:rsidRDefault="00717B7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  <w:t>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8F1956" w:rsidRDefault="008F1956" w:rsidP="008F1956">
            <w:pPr>
              <w:suppressAutoHyphens w:val="0"/>
              <w:autoSpaceDN/>
              <w:spacing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  <w:t xml:space="preserve">§ 6 ust. 10: </w:t>
            </w: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W zakresie ekologii i ochrony zwierząt oraz ochrony dziedzictwa przyrodniczego, m.in.:</w:t>
            </w:r>
          </w:p>
          <w:p w:rsidR="008F1956" w:rsidRPr="004214BE" w:rsidRDefault="008F1956" w:rsidP="008F1956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brak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8F1956" w:rsidRDefault="008F1956" w:rsidP="008F1956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Dodanie w § 6 ust. 10 pkt. 11 w brzmieniu:</w:t>
            </w:r>
          </w:p>
          <w:p w:rsidR="008F1956" w:rsidRPr="004214BE" w:rsidRDefault="008F1956" w:rsidP="008F1956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8F1956">
              <w:rPr>
                <w:rFonts w:ascii="Arial" w:hAnsi="Arial" w:cs="Arial"/>
                <w:bCs/>
                <w:iCs/>
                <w:color w:val="FF0000"/>
                <w:sz w:val="18"/>
                <w:szCs w:val="18"/>
                <w:lang w:val="pl-PL"/>
              </w:rPr>
              <w:t xml:space="preserve">11) </w:t>
            </w:r>
            <w:r w:rsidRPr="008F1956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Służących budowaniu świadomości na temat skutków przekształcania środowiska przyrodniczego na zdrowie i dobrostan człowieka i jego otoczenia.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8F1956" w:rsidRDefault="008F1956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C</w:t>
            </w: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oraz więcej mieszkańców Województwa Małopolskiego mieszka w miastach bądź obszarach wiejskich silnie przekształconych lub wręcz na granicy urbanizacji. Niestety, często nie zdajemy sobie sprawy z ukrytych kosztów życia w takiej przestrzeni, ani jak możemy wpłynąć na ich optymalizację, w szczególności pod kątem poprawy jakości życia i zdrowia. Działania takie zwracają uwagę na wpływ poszczególnych rozwiązań na zdrowie (fizyczne i psychiczne, np. alergie, obniżone nastroje, stany depresyjne) człowieka. Również obszary wiejskie mierzą się dzisiaj z różnymi wyzwaniami w tym zakresie.</w:t>
            </w:r>
          </w:p>
        </w:tc>
      </w:tr>
      <w:tr w:rsidR="008F1956" w:rsidRPr="0005030C" w:rsidTr="00717B7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717B73" w:rsidRDefault="00717B7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  <w:t>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8F1956" w:rsidRDefault="008F1956" w:rsidP="008F1956">
            <w:pPr>
              <w:suppressAutoHyphens w:val="0"/>
              <w:autoSpaceDN/>
              <w:spacing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  <w:t xml:space="preserve">§ 6 ust. 15: </w:t>
            </w:r>
            <w:r w:rsidRPr="008F1956">
              <w:rPr>
                <w:rFonts w:ascii="Arial" w:hAnsi="Arial" w:cs="Arial"/>
                <w:sz w:val="18"/>
                <w:szCs w:val="18"/>
                <w:lang w:val="pl-PL"/>
              </w:rPr>
              <w:t xml:space="preserve">W zakresie ochrony i promocji zdrowia, w tym działalności leczniczej w rozumieniu </w:t>
            </w:r>
            <w:hyperlink r:id="rId8" w:anchor="/document/17709549?cm=DOCUMENT" w:history="1">
              <w:r w:rsidRPr="008F1956">
                <w:rPr>
                  <w:rFonts w:ascii="Arial" w:hAnsi="Arial" w:cs="Arial"/>
                  <w:sz w:val="18"/>
                  <w:szCs w:val="18"/>
                  <w:lang w:val="pl-PL"/>
                </w:rPr>
                <w:t>ustawy</w:t>
              </w:r>
            </w:hyperlink>
            <w:r w:rsidRPr="008F1956">
              <w:rPr>
                <w:rFonts w:ascii="Arial" w:hAnsi="Arial" w:cs="Arial"/>
                <w:sz w:val="18"/>
                <w:szCs w:val="18"/>
                <w:lang w:val="pl-PL"/>
              </w:rPr>
              <w:t xml:space="preserve"> z dnia 15 kwietnia 2011 r. o działalności leczniczej, m.in..:</w:t>
            </w:r>
          </w:p>
          <w:p w:rsidR="008F1956" w:rsidRPr="004214BE" w:rsidRDefault="008F1956" w:rsidP="008F1956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8F1956">
              <w:rPr>
                <w:rFonts w:ascii="Arial" w:hAnsi="Arial" w:cs="Arial"/>
                <w:sz w:val="18"/>
                <w:szCs w:val="18"/>
                <w:lang w:val="pl-PL"/>
              </w:rPr>
              <w:t>brak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8F1956" w:rsidRDefault="008F1956" w:rsidP="008F1956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Dodanie w § 6 ust. 15 pkt. 10 w brzmieniu:</w:t>
            </w:r>
          </w:p>
          <w:p w:rsidR="008F1956" w:rsidRPr="008F1956" w:rsidRDefault="008F1956" w:rsidP="008F1956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 xml:space="preserve">10) </w:t>
            </w:r>
            <w:r w:rsidRPr="008F1956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upowszechnianie wiedzy na temat neuroróżnorodności dzieci i dorosłych</w:t>
            </w:r>
          </w:p>
          <w:p w:rsidR="008F1956" w:rsidRPr="004214BE" w:rsidRDefault="008F1956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8F1956" w:rsidRDefault="008F1956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N</w:t>
            </w: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iniejsza propozycja ma na celu zwiększenie stanu świadomości społeczeństwa na temat neuroróżnorodności, co ma bezpośredni wpływ na podejmowanie działań diagnostycznych i leczenie się – czy to psychoterapia, czy farmakologia – mieszkańców regionu. Podobnie jak inne nieleczone choroby – powodują powikłania i pogłębienie problemów. Spadek jakości życia osoby mierzącej się z niezdiagnozowaną chorobą neurologiczną to spadek jej zaangażowania w życie społeczne i zawodowe, zwiększone absencje, zwiększone koszty jej późniejszego leczenia.</w:t>
            </w:r>
          </w:p>
        </w:tc>
      </w:tr>
      <w:tr w:rsidR="008F1956" w:rsidRPr="0005030C" w:rsidTr="00717B7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717B73" w:rsidRDefault="00717B7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  <w:t>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8F1956" w:rsidRDefault="008F1956" w:rsidP="008F1956">
            <w:pPr>
              <w:suppressAutoHyphens w:val="0"/>
              <w:autoSpaceDN/>
              <w:spacing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  <w:t xml:space="preserve">§ 6 ust. 15: </w:t>
            </w:r>
            <w:r w:rsidRPr="008F1956">
              <w:rPr>
                <w:rFonts w:ascii="Arial" w:hAnsi="Arial" w:cs="Arial"/>
                <w:sz w:val="18"/>
                <w:szCs w:val="18"/>
                <w:lang w:val="pl-PL"/>
              </w:rPr>
              <w:t xml:space="preserve">W zakresie ochrony i promocji zdrowia, w tym działalności leczniczej w rozumieniu </w:t>
            </w:r>
            <w:hyperlink r:id="rId9" w:anchor="/document/17709549?cm=DOCUMENT" w:history="1">
              <w:r w:rsidRPr="008F1956">
                <w:rPr>
                  <w:rFonts w:ascii="Arial" w:hAnsi="Arial" w:cs="Arial"/>
                  <w:sz w:val="18"/>
                  <w:szCs w:val="18"/>
                  <w:lang w:val="pl-PL"/>
                </w:rPr>
                <w:t>ustawy</w:t>
              </w:r>
            </w:hyperlink>
            <w:r w:rsidRPr="008F1956">
              <w:rPr>
                <w:rFonts w:ascii="Arial" w:hAnsi="Arial" w:cs="Arial"/>
                <w:sz w:val="18"/>
                <w:szCs w:val="18"/>
                <w:lang w:val="pl-PL"/>
              </w:rPr>
              <w:t xml:space="preserve"> z dnia 15 kwietnia 2011 r. o działalności leczniczej, m.in..:</w:t>
            </w:r>
          </w:p>
          <w:p w:rsidR="008F1956" w:rsidRPr="004214BE" w:rsidRDefault="008F1956" w:rsidP="008F1956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8F1956">
              <w:rPr>
                <w:rFonts w:ascii="Arial" w:hAnsi="Arial" w:cs="Arial"/>
                <w:sz w:val="18"/>
                <w:szCs w:val="18"/>
                <w:lang w:val="pl-PL"/>
              </w:rPr>
              <w:t>brak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8F1956" w:rsidRDefault="008F1956" w:rsidP="008F1956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Dodanie w § 6 ust. 15 pkt. 11 w brzmieniu:</w:t>
            </w:r>
          </w:p>
          <w:p w:rsidR="008F1956" w:rsidRPr="004214BE" w:rsidRDefault="008F1956" w:rsidP="008F1956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 xml:space="preserve">11) </w:t>
            </w:r>
            <w:r w:rsidRPr="008F1956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upowszechnianie i promowanie działań prozdrowotnych z wykorzystaniem m.in. hortiterapii, lasoterapii</w:t>
            </w:r>
            <w:r w:rsidRPr="008F1956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8F1956" w:rsidRDefault="008F1956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N</w:t>
            </w: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iniejsza propozycja ma na celu zwiększenie dostępności do wiedzy na temat różnych możliwości odbudowywania kontaktu człowieka z przyrodą, który ma szereg właściwości równoważących, prozdrowotnych. Już sam bezpośredni kontakt z ziemią, z glebą, powoduje wzrost odporności (pobudzanie układu immunologicznego), a więc nie tylko na samopoczucie psychiczne, ale również na fizyczne. Obecność w przestrzeni przyrodniczej (również ogrodowej) to obniżenie poziomu kortyzolu i adrenaliny (hormony stresu), obniżenie ciśnienia krwi, wyrównanie oddechu. To również potrzebny ruch, deficytowy towar we współczesnych społeczeństwach industrialnych i postindustrialnych.</w:t>
            </w:r>
          </w:p>
        </w:tc>
      </w:tr>
      <w:tr w:rsidR="008F1956" w:rsidRPr="0005030C" w:rsidTr="00717B7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717B73" w:rsidRDefault="00717B7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  <w:t>17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4214BE" w:rsidRDefault="008F1956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8F1956"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  <w:t>§ 8 ust. 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8F1956" w:rsidRDefault="008F1956" w:rsidP="008F1956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Wykreślenie słów:</w:t>
            </w:r>
          </w:p>
          <w:p w:rsidR="008F1956" w:rsidRPr="008F1956" w:rsidRDefault="008F1956" w:rsidP="008F1956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Planowane rozpoczęcie naboru: IV kwartał 2025 r.</w:t>
            </w:r>
          </w:p>
          <w:p w:rsidR="008F1956" w:rsidRPr="004214BE" w:rsidRDefault="008F1956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8F1956" w:rsidRDefault="008F1956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8F1956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T</w:t>
            </w:r>
            <w:r w:rsidRPr="008F1956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ermin naboru, bo ten może ulec zmianie</w:t>
            </w:r>
          </w:p>
        </w:tc>
      </w:tr>
      <w:tr w:rsidR="004A71ED" w:rsidRPr="0005030C" w:rsidTr="00717B7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ED" w:rsidRPr="00717B73" w:rsidRDefault="00717B7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pl-PL" w:eastAsia="pl-PL"/>
              </w:rPr>
              <w:t>18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6" w:rsidRPr="008F1956" w:rsidRDefault="008F1956" w:rsidP="008F1956">
            <w:pPr>
              <w:suppressAutoHyphens w:val="0"/>
              <w:autoSpaceDN/>
              <w:spacing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</w:pPr>
            <w:r w:rsidRPr="008F1956">
              <w:rPr>
                <w:rFonts w:ascii="Arial" w:hAnsi="Arial" w:cs="Arial"/>
                <w:b/>
                <w:bCs/>
                <w:iCs/>
                <w:sz w:val="18"/>
                <w:szCs w:val="18"/>
                <w:lang w:val="pl-PL"/>
              </w:rPr>
              <w:t>W rozdziale V, § 6</w:t>
            </w:r>
          </w:p>
          <w:p w:rsidR="004A71ED" w:rsidRPr="00946079" w:rsidRDefault="008F1956" w:rsidP="00946079">
            <w:pPr>
              <w:suppressAutoHyphens w:val="0"/>
              <w:rPr>
                <w:rFonts w:ascii="Arial" w:eastAsia="Times New Roman" w:hAnsi="Arial" w:cs="Arial"/>
                <w:iCs/>
                <w:lang w:val="pl-PL" w:eastAsia="pl-PL"/>
              </w:rPr>
            </w:pPr>
            <w:r w:rsidRPr="00946079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brak obszaru</w:t>
            </w:r>
            <w:r w:rsidR="00946079" w:rsidRPr="00946079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 xml:space="preserve">: </w:t>
            </w:r>
            <w:r w:rsidR="00946079" w:rsidRPr="00946079">
              <w:rPr>
                <w:rFonts w:ascii="Arial" w:hAnsi="Arial" w:cs="Arial"/>
                <w:sz w:val="18"/>
                <w:szCs w:val="18"/>
                <w:lang w:val="pl-PL"/>
              </w:rPr>
              <w:t>działalność</w:t>
            </w:r>
            <w:r w:rsidR="00946079" w:rsidRPr="00946079">
              <w:rPr>
                <w:rFonts w:ascii="Arial" w:hAnsi="Arial" w:cs="Arial"/>
                <w:sz w:val="18"/>
                <w:szCs w:val="18"/>
                <w:lang w:val="pl-PL"/>
              </w:rPr>
              <w:t xml:space="preserve"> na rzecz organizacji pozarządowy</w:t>
            </w:r>
            <w:r w:rsidR="00946079">
              <w:rPr>
                <w:rFonts w:ascii="Arial" w:hAnsi="Arial" w:cs="Arial"/>
                <w:sz w:val="18"/>
                <w:szCs w:val="18"/>
                <w:lang w:val="pl-PL"/>
              </w:rPr>
              <w:t xml:space="preserve">ch oraz podmiotów wymienionych </w:t>
            </w:r>
            <w:r w:rsidR="00946079" w:rsidRPr="00946079">
              <w:rPr>
                <w:rFonts w:ascii="Arial" w:hAnsi="Arial" w:cs="Arial"/>
                <w:sz w:val="18"/>
                <w:szCs w:val="18"/>
                <w:lang w:val="pl-PL"/>
              </w:rPr>
              <w:t>w art. 3 ust. 3 m.in.</w:t>
            </w:r>
            <w:r w:rsidRPr="00946079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79" w:rsidRPr="00946079" w:rsidRDefault="00717B73" w:rsidP="00946079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717B73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Dodanie w § 6 ust. 16</w:t>
            </w:r>
          </w:p>
          <w:p w:rsidR="00946079" w:rsidRPr="00946079" w:rsidRDefault="00717B73" w:rsidP="00946079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 xml:space="preserve">W zakresie </w:t>
            </w:r>
            <w:r w:rsidR="00946079" w:rsidRPr="00946079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działalności na rzecz organizacji pozarządowy</w:t>
            </w:r>
            <w:r w:rsidR="00946079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 xml:space="preserve">ch oraz podmiotów wymienionych </w:t>
            </w:r>
            <w:r w:rsidR="00946079" w:rsidRPr="00946079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w art. 3 ust. 3 m.in.:</w:t>
            </w:r>
          </w:p>
          <w:p w:rsidR="004A71ED" w:rsidRPr="00717B73" w:rsidRDefault="00717B73" w:rsidP="00717B73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717B73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1)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 xml:space="preserve"> </w:t>
            </w:r>
            <w:r w:rsidR="00946079" w:rsidRPr="00717B73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utworzenie i prowadzenie c</w:t>
            </w:r>
            <w:r w:rsidR="00946079" w:rsidRPr="00717B73">
              <w:rPr>
                <w:rFonts w:ascii="Arial" w:hAnsi="Arial" w:cs="Arial"/>
                <w:bCs/>
                <w:iCs/>
                <w:color w:val="FF0000"/>
                <w:sz w:val="18"/>
                <w:szCs w:val="18"/>
                <w:lang w:val="pl-PL"/>
              </w:rPr>
              <w:t>entrów organizacji pozarządowych na terenie województwa małopolskiego świadczących wsparcie m.in. w zakresie prawo, finanse, księgowość, zarządzanie, marketing, fundraising itp.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79" w:rsidRPr="00946079" w:rsidRDefault="00946079" w:rsidP="00946079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946079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 xml:space="preserve">System przepisów i uwarunkowań w jakich funkcjonują organizacje pozarządowe jest bardzo skomplikowany i wymaga wiedzy z różnych obszarów (prawo, finanse, księgowość, zarządzanie, marketing, fundraising etc) zarówno od dużych, jak i niewielkich organizacji – bez względu na to jakimi zasobami dysponują. NGO muszą nieustannie podnosić swoje kompetencje chcąc stawać się partnerami samorządu w realizacji zadań publicznych, czy pozyskiwać środki europejskie. </w:t>
            </w:r>
          </w:p>
          <w:p w:rsidR="00946079" w:rsidRPr="00946079" w:rsidRDefault="00946079" w:rsidP="00946079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</w:pPr>
            <w:r w:rsidRPr="00946079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 xml:space="preserve">Ponadto - na mapie Małopolski znajdziemy swoiste „białe plamy”, czyli miejsca w których aktywność organizacji obywatelskich jest znikoma. Przyczyną takiego stanu jest m.in. niewystarczające wsparcie merytoryczne dla istniejących organizacji obywatelskich i brak wsparcia dla grup inicjatywnych/nieformalnych, zainteresowanych założeniem NGO. </w:t>
            </w:r>
          </w:p>
          <w:p w:rsidR="004A71ED" w:rsidRPr="00946079" w:rsidRDefault="00946079" w:rsidP="00946079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946079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Wprowadzenie obszaru oraz zaplanowanie w tym obszarze zadania: utworzenie i prowadzenie centrów organizacji pozarządowych na terenie województwa małopolskiego wyrównałoby szanse w dostępie do profesjonalnej wiedzy organizacjom również z mniejszych ośrodków miejskich i wiejskich, a także wzmocniło potencjał grup inicjatywnych, które chciałyby zakładać organizacje pozarządowe. Utworzenie postulowanego zadania i przekazanie go w trybie powierzenia organizacji/cjom pozarządowym umożliwiłoby NGO z całego województwa zdobywanie wiedzy w zakresie m.in.: zakładania, prowadzenia i finansowania działalności organizacji pozarządowych, zasad ich współpracy z samorządami, współpracy wewnątrz sektora, formułowania dokumentów organizacyjnych oraz strategicznych, aktywizacji społecznej, opracowywania projektów oraz wniosków o wsparcie finansowe wraz ze wskazywaniem potencjalnych źródeł finansowania, a także prowadzenia księgowości i stosowania wymogów zamówień publicznych. Realizacja zadań z tego zakresu mogłaby być oprócz formy stacjonarnej prowadzona również w sposób mobilny, w różnych miejscach Małopolski i w uzgodnieniu z sektorem pozarządowym. Istotnym elementem powinno być również, w oparciu o diagnozy, stymulowanie aktywności obywatelskiej w tych obszarach regionu, w których jest ona najsłabsza, a niekiedy znikoma.</w:t>
            </w:r>
            <w:r w:rsidRPr="00946079">
              <w:rPr>
                <w:rFonts w:eastAsia="Times New Roman" w:cs="Calibri"/>
                <w:sz w:val="24"/>
                <w:szCs w:val="24"/>
                <w:lang w:val="pl-PL"/>
              </w:rPr>
              <w:t xml:space="preserve"> </w:t>
            </w:r>
            <w:r w:rsidRPr="00946079">
              <w:rPr>
                <w:rFonts w:ascii="Arial" w:hAnsi="Arial" w:cs="Arial"/>
                <w:bCs/>
                <w:iCs/>
                <w:sz w:val="18"/>
                <w:szCs w:val="18"/>
                <w:lang w:val="pl-PL"/>
              </w:rPr>
              <w:t>Zorganizowanie takiego zadania wzmocni potencjał i aktywność małopolskich organizacji pozarządowych, z korzyścią dla wszystkich mieszkańców, na których potrzeby odpowiadają organizacje pozarządow</w:t>
            </w:r>
          </w:p>
        </w:tc>
      </w:tr>
    </w:tbl>
    <w:p w:rsidR="004214BE" w:rsidRDefault="004214BE" w:rsidP="003665D3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</w:p>
    <w:sectPr w:rsidR="004214BE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FF81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B58EA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E25"/>
    <w:multiLevelType w:val="hybridMultilevel"/>
    <w:tmpl w:val="832CBB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93802"/>
    <w:multiLevelType w:val="hybridMultilevel"/>
    <w:tmpl w:val="546E89AE"/>
    <w:lvl w:ilvl="0" w:tplc="DEECAE4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FF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E4761"/>
    <w:multiLevelType w:val="hybridMultilevel"/>
    <w:tmpl w:val="48C072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F654F"/>
    <w:multiLevelType w:val="hybridMultilevel"/>
    <w:tmpl w:val="B518F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4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63DD6"/>
    <w:multiLevelType w:val="hybridMultilevel"/>
    <w:tmpl w:val="90C418B4"/>
    <w:lvl w:ilvl="0" w:tplc="BCA21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876FA4"/>
    <w:multiLevelType w:val="hybridMultilevel"/>
    <w:tmpl w:val="9F7E0EFE"/>
    <w:lvl w:ilvl="0" w:tplc="1C08C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2"/>
  </w:num>
  <w:num w:numId="5">
    <w:abstractNumId w:val="13"/>
  </w:num>
  <w:num w:numId="6">
    <w:abstractNumId w:val="9"/>
  </w:num>
  <w:num w:numId="7">
    <w:abstractNumId w:val="3"/>
  </w:num>
  <w:num w:numId="8">
    <w:abstractNumId w:val="16"/>
  </w:num>
  <w:num w:numId="9">
    <w:abstractNumId w:val="8"/>
  </w:num>
  <w:num w:numId="10">
    <w:abstractNumId w:val="11"/>
  </w:num>
  <w:num w:numId="11">
    <w:abstractNumId w:val="5"/>
  </w:num>
  <w:num w:numId="12">
    <w:abstractNumId w:val="14"/>
  </w:num>
  <w:num w:numId="13">
    <w:abstractNumId w:val="6"/>
  </w:num>
  <w:num w:numId="14">
    <w:abstractNumId w:val="7"/>
  </w:num>
  <w:num w:numId="15">
    <w:abstractNumId w:val="17"/>
  </w:num>
  <w:num w:numId="16">
    <w:abstractNumId w:val="18"/>
  </w:num>
  <w:num w:numId="17">
    <w:abstractNumId w:val="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27DFF"/>
    <w:rsid w:val="00037ADB"/>
    <w:rsid w:val="00050F7D"/>
    <w:rsid w:val="000B2C6B"/>
    <w:rsid w:val="00194BEE"/>
    <w:rsid w:val="0019712B"/>
    <w:rsid w:val="001C00FD"/>
    <w:rsid w:val="001C2DFA"/>
    <w:rsid w:val="00223198"/>
    <w:rsid w:val="00272CB2"/>
    <w:rsid w:val="0028514D"/>
    <w:rsid w:val="002A1676"/>
    <w:rsid w:val="002B3FD2"/>
    <w:rsid w:val="00327A88"/>
    <w:rsid w:val="003303C7"/>
    <w:rsid w:val="003665D3"/>
    <w:rsid w:val="003E0C68"/>
    <w:rsid w:val="004214BE"/>
    <w:rsid w:val="00427EBA"/>
    <w:rsid w:val="004926FA"/>
    <w:rsid w:val="004A71ED"/>
    <w:rsid w:val="004C5B8C"/>
    <w:rsid w:val="00531D2E"/>
    <w:rsid w:val="005F1A31"/>
    <w:rsid w:val="005F42B4"/>
    <w:rsid w:val="005F7766"/>
    <w:rsid w:val="00621AC3"/>
    <w:rsid w:val="00635735"/>
    <w:rsid w:val="0064370E"/>
    <w:rsid w:val="00670FCB"/>
    <w:rsid w:val="00674F5F"/>
    <w:rsid w:val="006976C5"/>
    <w:rsid w:val="006B7C13"/>
    <w:rsid w:val="006C7D2C"/>
    <w:rsid w:val="006E0A11"/>
    <w:rsid w:val="006E4292"/>
    <w:rsid w:val="00704D2B"/>
    <w:rsid w:val="00717B73"/>
    <w:rsid w:val="00742A94"/>
    <w:rsid w:val="0078238B"/>
    <w:rsid w:val="007C5B07"/>
    <w:rsid w:val="008158EF"/>
    <w:rsid w:val="00831E91"/>
    <w:rsid w:val="008D78EA"/>
    <w:rsid w:val="008F1956"/>
    <w:rsid w:val="00903C2E"/>
    <w:rsid w:val="00946079"/>
    <w:rsid w:val="00970F7C"/>
    <w:rsid w:val="009900E5"/>
    <w:rsid w:val="009E20F4"/>
    <w:rsid w:val="009E252A"/>
    <w:rsid w:val="009E370F"/>
    <w:rsid w:val="00A22AA8"/>
    <w:rsid w:val="00A4251F"/>
    <w:rsid w:val="00A42AA4"/>
    <w:rsid w:val="00AB3C9E"/>
    <w:rsid w:val="00B33A9C"/>
    <w:rsid w:val="00B870F8"/>
    <w:rsid w:val="00B91313"/>
    <w:rsid w:val="00BA1439"/>
    <w:rsid w:val="00C362C5"/>
    <w:rsid w:val="00C96035"/>
    <w:rsid w:val="00CB6193"/>
    <w:rsid w:val="00CC6A25"/>
    <w:rsid w:val="00D44E06"/>
    <w:rsid w:val="00D67BDB"/>
    <w:rsid w:val="00D93DF8"/>
    <w:rsid w:val="00DC61FA"/>
    <w:rsid w:val="00DD0B56"/>
    <w:rsid w:val="00E4789C"/>
    <w:rsid w:val="00E627E8"/>
    <w:rsid w:val="00E670D7"/>
    <w:rsid w:val="00EB493E"/>
    <w:rsid w:val="00EF1E43"/>
    <w:rsid w:val="00EF5B26"/>
    <w:rsid w:val="00F421D3"/>
    <w:rsid w:val="00F46557"/>
    <w:rsid w:val="00F65E02"/>
    <w:rsid w:val="00F66EB1"/>
    <w:rsid w:val="00F80DD4"/>
    <w:rsid w:val="00F859E6"/>
    <w:rsid w:val="00F9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BEE9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21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ea.europa.eu/pl/help/najczestsze-pytania/jaka-jest-roznica-miedzy-adapt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3284</Words>
  <Characters>19708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Seweryn, Monika</cp:lastModifiedBy>
  <cp:revision>6</cp:revision>
  <dcterms:created xsi:type="dcterms:W3CDTF">2024-10-28T10:27:00Z</dcterms:created>
  <dcterms:modified xsi:type="dcterms:W3CDTF">2024-10-28T13:09:00Z</dcterms:modified>
</cp:coreProperties>
</file>