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027DFF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8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/2024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AB3C9E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15 października</w:t>
      </w:r>
      <w:r w:rsidR="0019712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2024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027DFF" w:rsidRDefault="008D78EA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8D78EA">
        <w:rPr>
          <w:rFonts w:ascii="Arial" w:hAnsi="Arial" w:cs="Arial"/>
          <w:b/>
          <w:sz w:val="24"/>
          <w:szCs w:val="24"/>
          <w:lang w:val="pl-PL"/>
        </w:rPr>
        <w:t>w s</w:t>
      </w:r>
      <w:r w:rsidR="00A4251F">
        <w:rPr>
          <w:rFonts w:ascii="Arial" w:hAnsi="Arial" w:cs="Arial"/>
          <w:b/>
          <w:sz w:val="24"/>
          <w:szCs w:val="24"/>
          <w:lang w:val="pl-PL"/>
        </w:rPr>
        <w:t xml:space="preserve">prawie </w:t>
      </w:r>
      <w:r w:rsidR="00027DFF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027DFF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27DFF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uchwały Sejmiku Województwa Małopolskiego </w:t>
      </w:r>
      <w:bookmarkStart w:id="0" w:name="_Hlk112660498"/>
      <w:bookmarkStart w:id="1" w:name="_Hlk123563195"/>
      <w:r w:rsidR="00027DFF" w:rsidRPr="0075289E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w sprawie </w:t>
      </w:r>
      <w:bookmarkEnd w:id="0"/>
      <w:bookmarkEnd w:id="1"/>
      <w:r w:rsidR="00027DFF" w:rsidRPr="00027DFF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uchwalenia aktualizacji „Planu zrównoważonego rozwoju publicznego transportu zbiorowego w województwie małopolskim”</w:t>
      </w:r>
    </w:p>
    <w:p w:rsidR="00EB493E" w:rsidRPr="00F65E02" w:rsidRDefault="008D78EA" w:rsidP="00F65E02">
      <w:pPr>
        <w:suppressAutoHyphens w:val="0"/>
        <w:autoSpaceDN/>
        <w:spacing w:before="480" w:line="240" w:lineRule="auto"/>
        <w:jc w:val="both"/>
        <w:outlineLvl w:val="0"/>
      </w:pPr>
      <w:r w:rsidRPr="00027DFF">
        <w:rPr>
          <w:rFonts w:ascii="Arial" w:eastAsia="Times New Roman" w:hAnsi="Arial" w:cs="Arial"/>
          <w:color w:val="000000"/>
          <w:lang w:val="pl-PL" w:eastAsia="pl-PL"/>
        </w:rPr>
        <w:t>Na podstawie § 2 ust. 1 pkt. 7 Regulaminu określającego organizację i tryb działania</w:t>
      </w:r>
      <w:r w:rsidRPr="008D78EA">
        <w:rPr>
          <w:rFonts w:ascii="Arial" w:eastAsia="Times New Roman" w:hAnsi="Arial" w:cs="Arial"/>
          <w:color w:val="000000"/>
          <w:lang w:val="pl-PL" w:eastAsia="pl-PL"/>
        </w:rPr>
        <w:t xml:space="preserve">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674F5F" w:rsidRDefault="00DD0B56" w:rsidP="00674F5F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pl-PL" w:eastAsia="pl-PL"/>
        </w:rPr>
      </w:pPr>
      <w:r w:rsidRPr="00027DFF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674F5F" w:rsidRPr="00674F5F">
        <w:rPr>
          <w:rFonts w:ascii="Arial" w:eastAsia="Times New Roman" w:hAnsi="Arial" w:cs="Arial"/>
          <w:color w:val="000000"/>
          <w:lang w:val="pl-PL" w:eastAsia="pl-PL"/>
        </w:rPr>
        <w:t>Opiniuje pozytywnie projekt</w:t>
      </w:r>
      <w:r w:rsidR="00427EB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74F5F" w:rsidRPr="00674F5F">
        <w:rPr>
          <w:rFonts w:ascii="Arial" w:eastAsia="Times New Roman" w:hAnsi="Arial" w:cs="Arial"/>
          <w:bCs/>
          <w:color w:val="000000"/>
          <w:lang w:val="pl-PL" w:eastAsia="pl-PL"/>
        </w:rPr>
        <w:t>uchwały Sejmiku Województwa Małopolskiego w sprawie uchwalenia aktualizacji „Planu zrównoważonego rozwoju publicznego transportu zbiorowego w województwie małopolskim</w:t>
      </w:r>
      <w:r w:rsidR="00674F5F">
        <w:rPr>
          <w:rFonts w:ascii="Arial" w:eastAsia="Times New Roman" w:hAnsi="Arial" w:cs="Arial"/>
          <w:bCs/>
          <w:color w:val="000000"/>
          <w:lang w:val="pl-PL" w:eastAsia="pl-PL"/>
        </w:rPr>
        <w:t>.</w:t>
      </w:r>
      <w:r w:rsidR="00674F5F" w:rsidRPr="00674F5F">
        <w:rPr>
          <w:rFonts w:ascii="Arial" w:eastAsia="Times New Roman" w:hAnsi="Arial" w:cs="Arial"/>
          <w:bCs/>
          <w:color w:val="000000"/>
          <w:lang w:val="pl-PL" w:eastAsia="pl-PL"/>
        </w:rPr>
        <w:t>”</w:t>
      </w:r>
    </w:p>
    <w:p w:rsidR="00EF5B26" w:rsidRPr="003665D3" w:rsidRDefault="00674F5F" w:rsidP="00674F5F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pl-PL" w:eastAsia="pl-PL"/>
        </w:rPr>
      </w:pPr>
      <w:r w:rsidRPr="00674F5F">
        <w:rPr>
          <w:rFonts w:ascii="Arial" w:eastAsia="Times New Roman" w:hAnsi="Arial" w:cs="Arial"/>
          <w:bCs/>
          <w:color w:val="000000"/>
          <w:lang w:val="pl-PL" w:eastAsia="pl-PL"/>
        </w:rPr>
        <w:t>Rekomenduje jednocześnie</w:t>
      </w:r>
      <w:r w:rsidR="003665D3">
        <w:rPr>
          <w:rFonts w:ascii="Arial" w:eastAsia="Times New Roman" w:hAnsi="Arial" w:cs="Arial"/>
          <w:bCs/>
          <w:color w:val="000000"/>
          <w:lang w:val="pl-PL" w:eastAsia="pl-PL"/>
        </w:rPr>
        <w:t xml:space="preserve"> wprowadzenie</w:t>
      </w:r>
      <w:r w:rsidRPr="00674F5F">
        <w:rPr>
          <w:rFonts w:ascii="Arial" w:eastAsia="Times New Roman" w:hAnsi="Arial" w:cs="Arial"/>
          <w:bCs/>
          <w:color w:val="000000"/>
          <w:lang w:val="pl-PL" w:eastAsia="pl-PL"/>
        </w:rPr>
        <w:t xml:space="preserve"> zmian zaproponowanych w brzmieniu załącznika do niniejszej uchwały.</w:t>
      </w:r>
    </w:p>
    <w:p w:rsidR="003665D3" w:rsidRPr="00674F5F" w:rsidRDefault="003665D3" w:rsidP="00674F5F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pl-PL" w:eastAsia="pl-PL"/>
        </w:rPr>
      </w:pPr>
      <w:r w:rsidRPr="003665D3">
        <w:rPr>
          <w:rFonts w:ascii="Arial" w:eastAsia="Times New Roman" w:hAnsi="Arial" w:cs="Arial"/>
          <w:bCs/>
          <w:color w:val="000000"/>
          <w:lang w:val="pl-PL" w:eastAsia="pl-PL"/>
        </w:rPr>
        <w:t>Wnioskuje o zabezpieczenie w przyszłości odpowiedniej ilości czasu na zapoznanie się i ustosunkowanie członków i członkiń MRDPP z przedłożonymi do konsultacji dokumentami – nie mniej niż 7 dni roboczych.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903C2E">
      <w:pPr>
        <w:spacing w:after="516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Uchwała wc</w:t>
      </w:r>
      <w:r w:rsidR="008D78EA">
        <w:rPr>
          <w:rFonts w:ascii="Arial" w:eastAsia="Times New Roman" w:hAnsi="Arial" w:cs="Arial"/>
          <w:color w:val="000000"/>
          <w:lang w:val="pl-PL" w:eastAsia="pl-PL"/>
        </w:rPr>
        <w:t>hodzi w życie z dniem podjęcia.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F859E6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Biorących udział w głosowaniu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9</w:t>
      </w:r>
    </w:p>
    <w:p w:rsidR="004214BE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9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0</w:t>
      </w:r>
      <w:r w:rsidR="00CB6193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6E0A11">
        <w:rPr>
          <w:rFonts w:ascii="Arial" w:eastAsia="Times New Roman" w:hAnsi="Arial" w:cs="Arial"/>
          <w:color w:val="000000"/>
          <w:lang w:val="pl-PL" w:eastAsia="pl-PL"/>
        </w:rPr>
        <w:t>0</w:t>
      </w:r>
      <w:bookmarkStart w:id="2" w:name="_GoBack"/>
      <w:bookmarkEnd w:id="2"/>
    </w:p>
    <w:p w:rsidR="003665D3" w:rsidRPr="004214BE" w:rsidRDefault="004214BE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br w:type="page"/>
      </w:r>
      <w:r w:rsidR="003665D3" w:rsidRPr="004214BE">
        <w:rPr>
          <w:rFonts w:ascii="Arial" w:eastAsia="Times New Roman" w:hAnsi="Arial" w:cs="Arial"/>
          <w:color w:val="000000"/>
          <w:lang w:val="pl-PL" w:eastAsia="pl-PL"/>
        </w:rPr>
        <w:lastRenderedPageBreak/>
        <w:t>Załącznik</w:t>
      </w:r>
    </w:p>
    <w:p w:rsidR="003665D3" w:rsidRPr="004214BE" w:rsidRDefault="003665D3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do uchwały 8/2024 MRDPP </w:t>
      </w:r>
    </w:p>
    <w:p w:rsidR="003665D3" w:rsidRPr="004214BE" w:rsidRDefault="00AB3C9E" w:rsidP="003665D3">
      <w:pPr>
        <w:suppressAutoHyphens w:val="0"/>
        <w:jc w:val="right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z dnia 15.10.</w:t>
      </w:r>
      <w:r w:rsidR="003665D3" w:rsidRPr="004214BE">
        <w:rPr>
          <w:rFonts w:ascii="Arial" w:eastAsia="Times New Roman" w:hAnsi="Arial" w:cs="Arial"/>
          <w:color w:val="000000"/>
          <w:lang w:val="pl-PL" w:eastAsia="pl-PL"/>
        </w:rPr>
        <w:t>2024 r.</w:t>
      </w:r>
    </w:p>
    <w:p w:rsidR="003665D3" w:rsidRPr="004214BE" w:rsidRDefault="003665D3" w:rsidP="003665D3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Stanowisko Małopolskiej Rady Działalności Pożytku Publicznego dotyczące projektu Uchwały SWM w sprawie </w:t>
      </w:r>
      <w:r w:rsidRPr="004214BE">
        <w:rPr>
          <w:rFonts w:ascii="Arial" w:eastAsia="Times New Roman" w:hAnsi="Arial" w:cs="Arial"/>
          <w:bCs/>
          <w:color w:val="000000"/>
          <w:lang w:val="pl-PL" w:eastAsia="pl-PL"/>
        </w:rPr>
        <w:t>uchwalenia aktualizacji „Planu zrównoważonego rozwoju publicznego transportu zbiorowego w województwie małopolskim”</w:t>
      </w:r>
      <w:r w:rsidRPr="004214BE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374"/>
        <w:gridCol w:w="2612"/>
      </w:tblGrid>
      <w:tr w:rsidR="003665D3" w:rsidRPr="004214BE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color w:val="000000"/>
                <w:lang w:val="pl-PL" w:eastAsia="pl-PL"/>
              </w:rPr>
              <w:t>Część projektu, do którego odnosi się zgłaszane stanowisko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color w:val="000000"/>
                <w:lang w:val="pl-PL" w:eastAsia="pl-PL"/>
              </w:rPr>
              <w:t>Treść stanowiska (propozycja zmiany)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color w:val="000000"/>
                <w:lang w:val="pl-PL" w:eastAsia="pl-PL"/>
              </w:rPr>
              <w:t>Uzasadnienie stanowiska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W dokumencie ani razu nie odniesiono się do kwestii zgodności zaplanowanych rozwiązań z Europejskim Zielonym Ładem, zasadą DSH, zasadami zrównoważonego rozwoju czy rozporządzeniem Nature Restoration Law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Wskazane dokumenty obowiązują na terenie Unii Europejskiej, tym samym należy się do nich odnieść, w szczególności, gdy planowane są inwestycje związane z dofinansowaniem ze środków UE.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Wnioskuj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emy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o zapisanie w dokumencie odniesienia do realizacji inwestycji w zgodności ze „Standardem ochrony drzew i innych form zieleni w procesie inwestycyjnym” - </w:t>
            </w:r>
            <w:hyperlink r:id="rId7" w:history="1">
              <w:r w:rsidRPr="004214BE">
                <w:rPr>
                  <w:rStyle w:val="Hipercze"/>
                  <w:rFonts w:ascii="Arial" w:eastAsia="Times New Roman" w:hAnsi="Arial" w:cs="Arial"/>
                  <w:iCs/>
                  <w:lang w:val="pl-PL" w:eastAsia="pl-PL"/>
                </w:rPr>
                <w:t>https://www.gov.pl/web/nfosigw/standardy-ochrony-drzew</w:t>
              </w:r>
            </w:hyperlink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Na przestrzeni ostatnich kilku lat szlaki kolejowe zostały ogołocone z jakichkolwiek drzew, nawet, gdy ich odległość od torów nie powodowała wzrostu zagrożenia w stosunku do trakcji kolejowych. Ma to również swoje koszty – pozbawione wiązania systemami korzeniowymi nasypy mogą już niedługo przy nawalnych deszczach stać się osuwisk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ami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Za dobrą praktykę należy uznać projektowanie przy 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budowie/modernizacji przystanków kolejowych rozwiązań z zakresu BZI, natomiast w pierwszej kolejności należy uwzględnić ochronę drzew i zakrzewień już rosnących w pobliżu stacji kolejowych i szlaków kolejowych. 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lastRenderedPageBreak/>
              <w:t>Z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adrzewienia zmniejszają uciążliwość sąsiedztwa torów dla sąsiadujących z nimi domów. 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lastRenderedPageBreak/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Uwzględnienie w zapisie dokumentu kwestii 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rezygnacji ze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szlaków kolejowych 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w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terenach potencjalnie zalewowych, osuwiskowych.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W szczególności zaniechanie prowadzenia szlaków kolejowych po terenach cennych przyrodniczo, o charakterze potencjalnie retencyjnym. Biorąc pod uwagę tegoroczną sytuację w województwie dolnośląskim należy przygotować Małopolskę (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region 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o podobnym charakterze – góry, potencjalnie silne opady nawalne, spływ w doliny itp.) na różne scenariusze związane ze zmianami klimatu. 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Należy zadbać o dobre skomunikowania kolei z innymi środkami transportu, przede wszystkim lokalną komunikacją autobusową. Obejmuje to zarówno zlokalizowanie przystanków i peronów względem siebie, ale i wygody pieszego przejścia między nimi. 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W wielu projektach budowy nowych lub przebudowy istniejących stacji kolejowych kładzie się nacisk na parkingi 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P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ark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 and R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ide. O ile jest to również bardzo przydatny i potrzebny element, tak w wielu projektach nadmiernie przyćmiewa on skomunikowanie z autobusami. Np. przystanki autobusowe są zbyt daleko od peronów kolejowych, lub dojście piesze między nimi jest niewygodne, podczas gdy parkingi są niemal przy samym peronie (skrajnym przykł</w:t>
            </w:r>
            <w:r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a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dem jest projektowany przystanek Kraków Prądnik Czerwony). </w:t>
            </w:r>
          </w:p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 xml:space="preserve">Tak samo trzeba zadbać o wygodę </w:t>
            </w: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lastRenderedPageBreak/>
              <w:t>dojścia pieszo (wygodne i bezpieczne chodniki, najlepiej odsunięte od jezdni, wraz z drzewami dającymi cień w upalne dni) z okolicy przystanków. We wsiach i miasteczkach ze skoncentrowaną zabudową oraz w obszarach wiejskich gęstej zabudowy, to właśnie dojście z okolicy i dojazd autobusami zapewni większą liczbę pasażerów niż dojazd samochodem.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lastRenderedPageBreak/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Konieczność uwzględnienia dostępności komunikacji zbiorowej wszelkiego typu oraz przestrzeni, w której ona funkcjonuje (dworce, perony, przystanki, itp.) dla osób ze szczególnymi potrzebami zgodnie z zapisami ustawy z dnia 19 lipca 2019 r. o zapewnianiu dostępności osobom ze szczególnymi potrzebami.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3665D3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Komunikacja zbiorowa oraz infrastruktura z nią związana powinna być dostępna dla wszystkich. Obiekty użyteczności publicznej muszą być zgodne z niniejszą ustawą, a pracownicy przeszkoleni do obsługi osób o szczególnych potrzebach.</w:t>
            </w:r>
          </w:p>
        </w:tc>
      </w:tr>
      <w:tr w:rsidR="003665D3" w:rsidRPr="0005030C" w:rsidTr="003529B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Uwaga ogólna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Dążenie do rozbudowy odcinka Skawina-Kalwaria Zebrzydowska poprzez dobudowę mijanek lub drugiego toru na całym odcinku lub częściowo tak, aby umożliwić kursowanie tam pociągów aglomeracyjnych i regionalnych z odpowiednią częstotliwością (co 15 minut w jedną stronę).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D3" w:rsidRPr="004214BE" w:rsidRDefault="003665D3" w:rsidP="003529B1">
            <w:pPr>
              <w:suppressAutoHyphens w:val="0"/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</w:pPr>
            <w:r w:rsidRPr="004214BE">
              <w:rPr>
                <w:rFonts w:ascii="Arial" w:eastAsia="Times New Roman" w:hAnsi="Arial" w:cs="Arial"/>
                <w:iCs/>
                <w:color w:val="000000"/>
                <w:lang w:val="pl-PL" w:eastAsia="pl-PL"/>
              </w:rPr>
              <w:t>Obecnie jest to odcinek o niskiej przepustowości, co drastycznie obniża możliwość prowadzenia pociągów w kierunku Kalwarii Z., Suchej Beskidzkiej, Bielska-Białej i Zakopanego.</w:t>
            </w:r>
          </w:p>
        </w:tc>
      </w:tr>
    </w:tbl>
    <w:p w:rsidR="004214BE" w:rsidRDefault="004214BE" w:rsidP="003665D3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</w:p>
    <w:sectPr w:rsidR="004214BE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E25"/>
    <w:multiLevelType w:val="hybridMultilevel"/>
    <w:tmpl w:val="832CB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761"/>
    <w:multiLevelType w:val="hybridMultilevel"/>
    <w:tmpl w:val="48C072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3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63DD6"/>
    <w:multiLevelType w:val="hybridMultilevel"/>
    <w:tmpl w:val="90C418B4"/>
    <w:lvl w:ilvl="0" w:tplc="BCA21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76FA4"/>
    <w:multiLevelType w:val="hybridMultilevel"/>
    <w:tmpl w:val="9F7E0EFE"/>
    <w:lvl w:ilvl="0" w:tplc="1C08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3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5"/>
  </w:num>
  <w:num w:numId="14">
    <w:abstractNumId w:val="6"/>
  </w:num>
  <w:num w:numId="15">
    <w:abstractNumId w:val="16"/>
  </w:num>
  <w:num w:numId="16">
    <w:abstractNumId w:val="17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27DFF"/>
    <w:rsid w:val="00037ADB"/>
    <w:rsid w:val="00050F7D"/>
    <w:rsid w:val="000B2C6B"/>
    <w:rsid w:val="00194BEE"/>
    <w:rsid w:val="0019712B"/>
    <w:rsid w:val="001C00FD"/>
    <w:rsid w:val="00223198"/>
    <w:rsid w:val="00272CB2"/>
    <w:rsid w:val="0028514D"/>
    <w:rsid w:val="002A1676"/>
    <w:rsid w:val="002B3FD2"/>
    <w:rsid w:val="003303C7"/>
    <w:rsid w:val="003665D3"/>
    <w:rsid w:val="003E0C68"/>
    <w:rsid w:val="004214BE"/>
    <w:rsid w:val="00427EBA"/>
    <w:rsid w:val="004926FA"/>
    <w:rsid w:val="004C5B8C"/>
    <w:rsid w:val="00531D2E"/>
    <w:rsid w:val="005F1A31"/>
    <w:rsid w:val="005F42B4"/>
    <w:rsid w:val="005F7766"/>
    <w:rsid w:val="0064370E"/>
    <w:rsid w:val="00670FCB"/>
    <w:rsid w:val="00674F5F"/>
    <w:rsid w:val="006976C5"/>
    <w:rsid w:val="006B7C13"/>
    <w:rsid w:val="006E0A11"/>
    <w:rsid w:val="00704D2B"/>
    <w:rsid w:val="00742A94"/>
    <w:rsid w:val="0078238B"/>
    <w:rsid w:val="007C5B07"/>
    <w:rsid w:val="008158EF"/>
    <w:rsid w:val="00831E91"/>
    <w:rsid w:val="008D78EA"/>
    <w:rsid w:val="00903C2E"/>
    <w:rsid w:val="00970F7C"/>
    <w:rsid w:val="009900E5"/>
    <w:rsid w:val="00A22AA8"/>
    <w:rsid w:val="00A4251F"/>
    <w:rsid w:val="00A42AA4"/>
    <w:rsid w:val="00AB3C9E"/>
    <w:rsid w:val="00B33A9C"/>
    <w:rsid w:val="00B870F8"/>
    <w:rsid w:val="00B91313"/>
    <w:rsid w:val="00BA1439"/>
    <w:rsid w:val="00C362C5"/>
    <w:rsid w:val="00C96035"/>
    <w:rsid w:val="00CB6193"/>
    <w:rsid w:val="00CC6A25"/>
    <w:rsid w:val="00D44E06"/>
    <w:rsid w:val="00D67BDB"/>
    <w:rsid w:val="00D93DF8"/>
    <w:rsid w:val="00DC61FA"/>
    <w:rsid w:val="00DD0B56"/>
    <w:rsid w:val="00E4789C"/>
    <w:rsid w:val="00E627E8"/>
    <w:rsid w:val="00E670D7"/>
    <w:rsid w:val="00EB493E"/>
    <w:rsid w:val="00EF1E43"/>
    <w:rsid w:val="00EF5B26"/>
    <w:rsid w:val="00F421D3"/>
    <w:rsid w:val="00F46557"/>
    <w:rsid w:val="00F65E02"/>
    <w:rsid w:val="00F66EB1"/>
    <w:rsid w:val="00F80DD4"/>
    <w:rsid w:val="00F859E6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D81E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1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standardy-ochrony-drz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10</cp:revision>
  <dcterms:created xsi:type="dcterms:W3CDTF">2024-10-09T06:57:00Z</dcterms:created>
  <dcterms:modified xsi:type="dcterms:W3CDTF">2024-10-15T12:38:00Z</dcterms:modified>
</cp:coreProperties>
</file>