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86CFF" w14:textId="7068B628" w:rsidR="00D52E84" w:rsidRPr="00D52E84" w:rsidRDefault="00D52E84" w:rsidP="00D52E84">
      <w:pPr>
        <w:keepNext/>
        <w:keepLines/>
        <w:spacing w:before="240" w:after="0"/>
        <w:jc w:val="center"/>
        <w:outlineLvl w:val="0"/>
        <w:rPr>
          <w:rFonts w:ascii="Arial" w:eastAsiaTheme="majorEastAsia" w:hAnsi="Arial" w:cs="Arial"/>
          <w:b/>
          <w:sz w:val="24"/>
          <w:szCs w:val="24"/>
        </w:rPr>
      </w:pPr>
      <w:bookmarkStart w:id="0" w:name="_GoBack"/>
      <w:bookmarkEnd w:id="0"/>
      <w:r w:rsidRPr="00D52E84">
        <w:rPr>
          <w:rFonts w:ascii="Arial" w:eastAsiaTheme="majorEastAsia" w:hAnsi="Arial" w:cs="Arial"/>
          <w:b/>
          <w:sz w:val="24"/>
          <w:szCs w:val="24"/>
        </w:rPr>
        <w:t xml:space="preserve">Stanowisko Wojewódzkiej Rady Dialogu Społecznego w Województwie Małopolskim z dnia 21 kwietnia 2022 roku w sprawie </w:t>
      </w:r>
      <w:r>
        <w:rPr>
          <w:rFonts w:ascii="Arial" w:eastAsiaTheme="majorEastAsia" w:hAnsi="Arial" w:cs="Arial"/>
          <w:b/>
          <w:sz w:val="24"/>
          <w:szCs w:val="24"/>
        </w:rPr>
        <w:t>użytkowania wieczystego</w:t>
      </w:r>
    </w:p>
    <w:p w14:paraId="3307168B" w14:textId="77777777" w:rsidR="004B7D42" w:rsidRDefault="004B7D42" w:rsidP="004B7D42">
      <w:pPr>
        <w:jc w:val="both"/>
        <w:rPr>
          <w:rFonts w:ascii="Times New Roman" w:hAnsi="Times New Roman" w:cs="Times New Roman"/>
          <w:sz w:val="24"/>
          <w:szCs w:val="24"/>
        </w:rPr>
      </w:pPr>
    </w:p>
    <w:p w14:paraId="65B59332" w14:textId="49BA96A7" w:rsidR="004B7D42" w:rsidRPr="00683C9F" w:rsidRDefault="004B2B39" w:rsidP="004B2B39">
      <w:pPr>
        <w:jc w:val="both"/>
        <w:rPr>
          <w:rFonts w:ascii="Arial" w:hAnsi="Arial" w:cs="Arial"/>
          <w:sz w:val="24"/>
          <w:szCs w:val="24"/>
        </w:rPr>
      </w:pPr>
      <w:r w:rsidRPr="00683C9F">
        <w:rPr>
          <w:rFonts w:ascii="Arial" w:hAnsi="Arial" w:cs="Arial"/>
          <w:sz w:val="24"/>
          <w:szCs w:val="24"/>
        </w:rPr>
        <w:t>Wojewódzka Rada Dialogu Społecznego (WRDS) w Województwie Małopolskim</w:t>
      </w:r>
      <w:r w:rsidR="004B7D42" w:rsidRPr="00683C9F">
        <w:rPr>
          <w:rFonts w:ascii="Arial" w:hAnsi="Arial" w:cs="Arial"/>
          <w:sz w:val="24"/>
          <w:szCs w:val="24"/>
        </w:rPr>
        <w:t xml:space="preserve"> p</w:t>
      </w:r>
      <w:r w:rsidRPr="00683C9F">
        <w:rPr>
          <w:rFonts w:ascii="Arial" w:hAnsi="Arial" w:cs="Arial"/>
          <w:sz w:val="24"/>
          <w:szCs w:val="24"/>
        </w:rPr>
        <w:t>odejmuje stanowisko</w:t>
      </w:r>
      <w:r w:rsidR="004B7D42" w:rsidRPr="00683C9F">
        <w:rPr>
          <w:rFonts w:ascii="Arial" w:hAnsi="Arial" w:cs="Arial"/>
          <w:sz w:val="24"/>
          <w:szCs w:val="24"/>
        </w:rPr>
        <w:t xml:space="preserve"> w sprawie działań legislacyjnych zmierzających do ograniczania prawa użytkowania wieczystego w obroci</w:t>
      </w:r>
      <w:r w:rsidRPr="00683C9F">
        <w:rPr>
          <w:rFonts w:ascii="Arial" w:hAnsi="Arial" w:cs="Arial"/>
          <w:sz w:val="24"/>
          <w:szCs w:val="24"/>
        </w:rPr>
        <w:t xml:space="preserve">e prawnym, w szczególności </w:t>
      </w:r>
      <w:r w:rsidR="00683C9F">
        <w:rPr>
          <w:rFonts w:ascii="Arial" w:hAnsi="Arial" w:cs="Arial"/>
          <w:sz w:val="24"/>
          <w:szCs w:val="24"/>
        </w:rPr>
        <w:br/>
      </w:r>
      <w:r w:rsidR="000742B2">
        <w:rPr>
          <w:rFonts w:ascii="Arial" w:hAnsi="Arial" w:cs="Arial"/>
          <w:sz w:val="24"/>
          <w:szCs w:val="24"/>
        </w:rPr>
        <w:t>z uwzględnieniem</w:t>
      </w:r>
      <w:r w:rsidRPr="00683C9F">
        <w:rPr>
          <w:rFonts w:ascii="Arial" w:hAnsi="Arial" w:cs="Arial"/>
          <w:sz w:val="24"/>
          <w:szCs w:val="24"/>
        </w:rPr>
        <w:t xml:space="preserve"> </w:t>
      </w:r>
      <w:r w:rsidR="004B7D42" w:rsidRPr="00683C9F">
        <w:rPr>
          <w:rFonts w:ascii="Arial" w:hAnsi="Arial" w:cs="Arial"/>
          <w:sz w:val="24"/>
          <w:szCs w:val="24"/>
        </w:rPr>
        <w:t>projektu z dnia 22 lipca 2021</w:t>
      </w:r>
      <w:r w:rsidRPr="00683C9F">
        <w:rPr>
          <w:rFonts w:ascii="Arial" w:hAnsi="Arial" w:cs="Arial"/>
          <w:sz w:val="24"/>
          <w:szCs w:val="24"/>
        </w:rPr>
        <w:t xml:space="preserve"> </w:t>
      </w:r>
      <w:r w:rsidR="004B7D42" w:rsidRPr="00683C9F">
        <w:rPr>
          <w:rFonts w:ascii="Arial" w:hAnsi="Arial" w:cs="Arial"/>
          <w:sz w:val="24"/>
          <w:szCs w:val="24"/>
        </w:rPr>
        <w:t xml:space="preserve">r. ustawy o zmianie ustawy </w:t>
      </w:r>
      <w:r w:rsidR="00B900C2">
        <w:rPr>
          <w:rFonts w:ascii="Arial" w:hAnsi="Arial" w:cs="Arial"/>
          <w:sz w:val="24"/>
          <w:szCs w:val="24"/>
        </w:rPr>
        <w:br/>
      </w:r>
      <w:r w:rsidR="004B7D42" w:rsidRPr="00683C9F">
        <w:rPr>
          <w:rFonts w:ascii="Arial" w:hAnsi="Arial" w:cs="Arial"/>
          <w:sz w:val="24"/>
          <w:szCs w:val="24"/>
        </w:rPr>
        <w:t>o gospodarce nieruchomościami oraz niektórych innych ustaw.</w:t>
      </w:r>
      <w:r w:rsidR="0029604A" w:rsidRPr="00683C9F">
        <w:rPr>
          <w:rFonts w:ascii="Arial" w:hAnsi="Arial" w:cs="Arial"/>
          <w:sz w:val="24"/>
          <w:szCs w:val="24"/>
        </w:rPr>
        <w:t xml:space="preserve"> Podjęcie tego zagadnienia w procesie legislacji to niewątpliwie postąpienie we właściwym kierunku, a </w:t>
      </w:r>
      <w:r w:rsidR="004B7D42" w:rsidRPr="00683C9F">
        <w:rPr>
          <w:rFonts w:ascii="Arial" w:hAnsi="Arial" w:cs="Arial"/>
          <w:sz w:val="24"/>
          <w:szCs w:val="24"/>
        </w:rPr>
        <w:t xml:space="preserve">każda aktywność </w:t>
      </w:r>
      <w:r w:rsidR="0029604A" w:rsidRPr="00683C9F">
        <w:rPr>
          <w:rFonts w:ascii="Arial" w:hAnsi="Arial" w:cs="Arial"/>
          <w:sz w:val="24"/>
          <w:szCs w:val="24"/>
        </w:rPr>
        <w:t xml:space="preserve">ustawodawcza </w:t>
      </w:r>
      <w:r w:rsidR="004B7D42" w:rsidRPr="00683C9F">
        <w:rPr>
          <w:rFonts w:ascii="Arial" w:hAnsi="Arial" w:cs="Arial"/>
          <w:sz w:val="24"/>
          <w:szCs w:val="24"/>
        </w:rPr>
        <w:t xml:space="preserve">ukierunkowana na ograniczenie </w:t>
      </w:r>
      <w:r w:rsidR="0029604A" w:rsidRPr="00683C9F">
        <w:rPr>
          <w:rFonts w:ascii="Arial" w:hAnsi="Arial" w:cs="Arial"/>
          <w:sz w:val="24"/>
          <w:szCs w:val="24"/>
        </w:rPr>
        <w:t xml:space="preserve">instytucji </w:t>
      </w:r>
      <w:r w:rsidR="004B7D42" w:rsidRPr="00683C9F">
        <w:rPr>
          <w:rFonts w:ascii="Arial" w:hAnsi="Arial" w:cs="Arial"/>
          <w:sz w:val="24"/>
          <w:szCs w:val="24"/>
        </w:rPr>
        <w:t>użytkowania wieczystego w szeroko rozumianym obrocie prawnym</w:t>
      </w:r>
      <w:r w:rsidR="0029604A" w:rsidRPr="00683C9F">
        <w:rPr>
          <w:rFonts w:ascii="Arial" w:hAnsi="Arial" w:cs="Arial"/>
          <w:sz w:val="24"/>
          <w:szCs w:val="24"/>
        </w:rPr>
        <w:t>,</w:t>
      </w:r>
      <w:r w:rsidR="004B7D42" w:rsidRPr="00683C9F">
        <w:rPr>
          <w:rFonts w:ascii="Arial" w:hAnsi="Arial" w:cs="Arial"/>
          <w:sz w:val="24"/>
          <w:szCs w:val="24"/>
        </w:rPr>
        <w:t xml:space="preserve"> w tym </w:t>
      </w:r>
      <w:r w:rsidR="000019CC">
        <w:rPr>
          <w:rFonts w:ascii="Arial" w:hAnsi="Arial" w:cs="Arial"/>
          <w:sz w:val="24"/>
          <w:szCs w:val="24"/>
        </w:rPr>
        <w:br/>
      </w:r>
      <w:r w:rsidR="004B7D42" w:rsidRPr="00683C9F">
        <w:rPr>
          <w:rFonts w:ascii="Arial" w:hAnsi="Arial" w:cs="Arial"/>
          <w:sz w:val="24"/>
          <w:szCs w:val="24"/>
        </w:rPr>
        <w:t>w szczególności obrocie gospodarczym</w:t>
      </w:r>
      <w:r w:rsidR="0029604A" w:rsidRPr="00683C9F">
        <w:rPr>
          <w:rFonts w:ascii="Arial" w:hAnsi="Arial" w:cs="Arial"/>
          <w:sz w:val="24"/>
          <w:szCs w:val="24"/>
        </w:rPr>
        <w:t>,</w:t>
      </w:r>
      <w:r w:rsidR="004B7D42" w:rsidRPr="00683C9F">
        <w:rPr>
          <w:rFonts w:ascii="Arial" w:hAnsi="Arial" w:cs="Arial"/>
          <w:sz w:val="24"/>
          <w:szCs w:val="24"/>
        </w:rPr>
        <w:t xml:space="preserve"> jest celowa</w:t>
      </w:r>
      <w:r w:rsidRPr="00683C9F">
        <w:rPr>
          <w:rFonts w:ascii="Arial" w:hAnsi="Arial" w:cs="Arial"/>
          <w:sz w:val="24"/>
          <w:szCs w:val="24"/>
        </w:rPr>
        <w:t xml:space="preserve"> </w:t>
      </w:r>
      <w:r w:rsidR="004B7D42" w:rsidRPr="00683C9F">
        <w:rPr>
          <w:rFonts w:ascii="Arial" w:hAnsi="Arial" w:cs="Arial"/>
          <w:sz w:val="24"/>
          <w:szCs w:val="24"/>
        </w:rPr>
        <w:t>i uzasadniona.</w:t>
      </w:r>
    </w:p>
    <w:p w14:paraId="01DCD9C2" w14:textId="6A4DA12F" w:rsidR="004B7D42" w:rsidRPr="00683C9F" w:rsidRDefault="0029604A" w:rsidP="0029604A">
      <w:pPr>
        <w:ind w:firstLine="708"/>
        <w:jc w:val="both"/>
        <w:rPr>
          <w:rFonts w:ascii="Arial" w:hAnsi="Arial" w:cs="Arial"/>
          <w:sz w:val="24"/>
          <w:szCs w:val="24"/>
        </w:rPr>
      </w:pPr>
      <w:r w:rsidRPr="00683C9F">
        <w:rPr>
          <w:rFonts w:ascii="Arial" w:hAnsi="Arial" w:cs="Arial"/>
          <w:sz w:val="24"/>
          <w:szCs w:val="24"/>
        </w:rPr>
        <w:t xml:space="preserve">Prawo użytkowania wieczystego stanowi relikt stosunków własnościowych minionej już epoki. Pomimo zmian </w:t>
      </w:r>
      <w:r w:rsidR="00A75F75" w:rsidRPr="00683C9F">
        <w:rPr>
          <w:rFonts w:ascii="Arial" w:hAnsi="Arial" w:cs="Arial"/>
          <w:sz w:val="24"/>
          <w:szCs w:val="24"/>
        </w:rPr>
        <w:t xml:space="preserve">strukturalnych </w:t>
      </w:r>
      <w:r w:rsidRPr="00683C9F">
        <w:rPr>
          <w:rFonts w:ascii="Arial" w:hAnsi="Arial" w:cs="Arial"/>
          <w:sz w:val="24"/>
          <w:szCs w:val="24"/>
        </w:rPr>
        <w:t xml:space="preserve">Państwa </w:t>
      </w:r>
      <w:r w:rsidR="00A45D4F" w:rsidRPr="00683C9F">
        <w:rPr>
          <w:rFonts w:ascii="Arial" w:hAnsi="Arial" w:cs="Arial"/>
          <w:sz w:val="24"/>
          <w:szCs w:val="24"/>
        </w:rPr>
        <w:t>zawartych w przepisach rangi konstytucyjnej i ustawowej, których istotą było przywrócenie obywatelom pełni praw opartych na prawie własności, w obrocie prawnym utrzymała się – nieprzystająca do wymagań współczesności</w:t>
      </w:r>
      <w:r w:rsidR="00FB48B9" w:rsidRPr="00683C9F">
        <w:rPr>
          <w:rFonts w:ascii="Arial" w:hAnsi="Arial" w:cs="Arial"/>
          <w:sz w:val="24"/>
          <w:szCs w:val="24"/>
        </w:rPr>
        <w:t xml:space="preserve"> </w:t>
      </w:r>
      <w:r w:rsidR="000019CC">
        <w:rPr>
          <w:rFonts w:ascii="Arial" w:hAnsi="Arial" w:cs="Arial"/>
          <w:sz w:val="24"/>
          <w:szCs w:val="24"/>
        </w:rPr>
        <w:t>–</w:t>
      </w:r>
      <w:r w:rsidR="00A45D4F" w:rsidRPr="00683C9F">
        <w:rPr>
          <w:rFonts w:ascii="Arial" w:hAnsi="Arial" w:cs="Arial"/>
          <w:sz w:val="24"/>
          <w:szCs w:val="24"/>
        </w:rPr>
        <w:t xml:space="preserve"> forma</w:t>
      </w:r>
      <w:r w:rsidR="000019CC">
        <w:rPr>
          <w:rFonts w:ascii="Arial" w:hAnsi="Arial" w:cs="Arial"/>
          <w:sz w:val="24"/>
          <w:szCs w:val="24"/>
        </w:rPr>
        <w:t xml:space="preserve"> </w:t>
      </w:r>
      <w:r w:rsidR="00A45D4F" w:rsidRPr="00683C9F">
        <w:rPr>
          <w:rFonts w:ascii="Arial" w:hAnsi="Arial" w:cs="Arial"/>
          <w:sz w:val="24"/>
          <w:szCs w:val="24"/>
        </w:rPr>
        <w:t xml:space="preserve">ułomnego prawa. Forma ta była nie tylko niezrozumiała w naszym wewnętrznym obrocie prawnym, ale przede wszystkim obca inwestorom zagranicznym. </w:t>
      </w:r>
      <w:r w:rsidR="00A75F75" w:rsidRPr="00683C9F">
        <w:rPr>
          <w:rFonts w:ascii="Arial" w:hAnsi="Arial" w:cs="Arial"/>
          <w:sz w:val="24"/>
          <w:szCs w:val="24"/>
        </w:rPr>
        <w:t>Ten niebagatelny aspekt winien był doprowadzić do ujednolicenia formy wykonywania władztwa nad nieruchomościami, bowiem utrzymywanie dwoistości  stosunków właścicielskich negatywnie wpływał</w:t>
      </w:r>
      <w:r w:rsidR="0023213F" w:rsidRPr="00683C9F">
        <w:rPr>
          <w:rFonts w:ascii="Arial" w:hAnsi="Arial" w:cs="Arial"/>
          <w:sz w:val="24"/>
          <w:szCs w:val="24"/>
        </w:rPr>
        <w:t>o</w:t>
      </w:r>
      <w:r w:rsidR="00A75F75" w:rsidRPr="00683C9F">
        <w:rPr>
          <w:rFonts w:ascii="Arial" w:hAnsi="Arial" w:cs="Arial"/>
          <w:sz w:val="24"/>
          <w:szCs w:val="24"/>
        </w:rPr>
        <w:t xml:space="preserve"> na procesy motywacyjne inwestycji zagranicznych.</w:t>
      </w:r>
      <w:r w:rsidR="0023213F" w:rsidRPr="00683C9F">
        <w:rPr>
          <w:rFonts w:ascii="Arial" w:hAnsi="Arial" w:cs="Arial"/>
          <w:sz w:val="24"/>
          <w:szCs w:val="24"/>
        </w:rPr>
        <w:t xml:space="preserve"> Użytkowanie wieczyste wszak nie dawało uprawnionemu prawa do wykonywania pełni władztwa, skoro prawo to – z samej natury – ma czasowy charakter</w:t>
      </w:r>
      <w:r w:rsidR="00A31C39" w:rsidRPr="00683C9F">
        <w:rPr>
          <w:rFonts w:ascii="Arial" w:hAnsi="Arial" w:cs="Arial"/>
          <w:sz w:val="24"/>
          <w:szCs w:val="24"/>
        </w:rPr>
        <w:t>. Trudno o bardziej zniechęcający inwestorów czynnik do lokowania w miejscu jej położenia znaczących środ</w:t>
      </w:r>
      <w:r w:rsidR="000019CC">
        <w:rPr>
          <w:rFonts w:ascii="Arial" w:hAnsi="Arial" w:cs="Arial"/>
          <w:sz w:val="24"/>
          <w:szCs w:val="24"/>
        </w:rPr>
        <w:t xml:space="preserve">ków finansowych. Także związane </w:t>
      </w:r>
      <w:r w:rsidR="00A31C39" w:rsidRPr="00683C9F">
        <w:rPr>
          <w:rFonts w:ascii="Arial" w:hAnsi="Arial" w:cs="Arial"/>
          <w:sz w:val="24"/>
          <w:szCs w:val="24"/>
        </w:rPr>
        <w:t>z użytkowaniem wiecz</w:t>
      </w:r>
      <w:r w:rsidR="000019CC">
        <w:rPr>
          <w:rFonts w:ascii="Arial" w:hAnsi="Arial" w:cs="Arial"/>
          <w:sz w:val="24"/>
          <w:szCs w:val="24"/>
        </w:rPr>
        <w:t xml:space="preserve">ystym świadczenie polegające na </w:t>
      </w:r>
      <w:r w:rsidR="00A31C39" w:rsidRPr="00683C9F">
        <w:rPr>
          <w:rFonts w:ascii="Arial" w:hAnsi="Arial" w:cs="Arial"/>
          <w:sz w:val="24"/>
          <w:szCs w:val="24"/>
        </w:rPr>
        <w:t xml:space="preserve">wnoszeniu periodycznych opłat stwarza niepewność co do ich zakresu i wysokości, zwłaszcza </w:t>
      </w:r>
      <w:r w:rsidR="000019CC">
        <w:rPr>
          <w:rFonts w:ascii="Arial" w:hAnsi="Arial" w:cs="Arial"/>
          <w:sz w:val="24"/>
          <w:szCs w:val="24"/>
        </w:rPr>
        <w:br/>
      </w:r>
      <w:r w:rsidR="00A31C39" w:rsidRPr="00683C9F">
        <w:rPr>
          <w:rFonts w:ascii="Arial" w:hAnsi="Arial" w:cs="Arial"/>
          <w:sz w:val="24"/>
          <w:szCs w:val="24"/>
        </w:rPr>
        <w:t xml:space="preserve">w okresach wieloletnich. </w:t>
      </w:r>
    </w:p>
    <w:p w14:paraId="71A134B6" w14:textId="0158F01E" w:rsidR="00A31C39" w:rsidRPr="00683C9F" w:rsidRDefault="00A31C39" w:rsidP="004B7D42">
      <w:pPr>
        <w:jc w:val="both"/>
        <w:rPr>
          <w:rFonts w:ascii="Arial" w:hAnsi="Arial" w:cs="Arial"/>
          <w:sz w:val="24"/>
          <w:szCs w:val="24"/>
        </w:rPr>
      </w:pPr>
      <w:r w:rsidRPr="00683C9F">
        <w:rPr>
          <w:rFonts w:ascii="Arial" w:hAnsi="Arial" w:cs="Arial"/>
          <w:sz w:val="24"/>
          <w:szCs w:val="24"/>
        </w:rPr>
        <w:tab/>
        <w:t>Z punktu widzenia interes</w:t>
      </w:r>
      <w:r w:rsidR="00D779D4" w:rsidRPr="00683C9F">
        <w:rPr>
          <w:rFonts w:ascii="Arial" w:hAnsi="Arial" w:cs="Arial"/>
          <w:sz w:val="24"/>
          <w:szCs w:val="24"/>
        </w:rPr>
        <w:t>ów gospodarczych państwa, jak i organizacji samorządu terytorialnego, inwestowanie prowadzić winno do</w:t>
      </w:r>
      <w:r w:rsidR="000019CC">
        <w:rPr>
          <w:rFonts w:ascii="Arial" w:hAnsi="Arial" w:cs="Arial"/>
          <w:sz w:val="24"/>
          <w:szCs w:val="24"/>
        </w:rPr>
        <w:t xml:space="preserve"> związania dysponenta kapitałem </w:t>
      </w:r>
      <w:r w:rsidR="00D779D4" w:rsidRPr="00683C9F">
        <w:rPr>
          <w:rFonts w:ascii="Arial" w:hAnsi="Arial" w:cs="Arial"/>
          <w:sz w:val="24"/>
          <w:szCs w:val="24"/>
        </w:rPr>
        <w:t>i możliwościami</w:t>
      </w:r>
      <w:r w:rsidR="000019CC">
        <w:rPr>
          <w:rFonts w:ascii="Arial" w:hAnsi="Arial" w:cs="Arial"/>
          <w:sz w:val="24"/>
          <w:szCs w:val="24"/>
        </w:rPr>
        <w:t xml:space="preserve"> rozwojowymi z danym terenem. W </w:t>
      </w:r>
      <w:r w:rsidR="00D779D4" w:rsidRPr="00683C9F">
        <w:rPr>
          <w:rFonts w:ascii="Arial" w:hAnsi="Arial" w:cs="Arial"/>
          <w:sz w:val="24"/>
          <w:szCs w:val="24"/>
        </w:rPr>
        <w:t>oczywisty więc sposób inwestor związany będzie mocniej i wielopłaszczyznowo z terenem, do którego dysponuje nieograniczonymi</w:t>
      </w:r>
      <w:r w:rsidR="000019CC">
        <w:rPr>
          <w:rFonts w:ascii="Arial" w:hAnsi="Arial" w:cs="Arial"/>
          <w:sz w:val="24"/>
          <w:szCs w:val="24"/>
        </w:rPr>
        <w:t xml:space="preserve"> </w:t>
      </w:r>
      <w:r w:rsidR="00D779D4" w:rsidRPr="00683C9F">
        <w:rPr>
          <w:rFonts w:ascii="Arial" w:hAnsi="Arial" w:cs="Arial"/>
          <w:sz w:val="24"/>
          <w:szCs w:val="24"/>
        </w:rPr>
        <w:t xml:space="preserve">i nienaruszalnymi prawami. </w:t>
      </w:r>
    </w:p>
    <w:p w14:paraId="71D03095" w14:textId="77377E5A" w:rsidR="009F5FDB" w:rsidRPr="00683C9F" w:rsidRDefault="004B2B39" w:rsidP="004B7D42">
      <w:pPr>
        <w:jc w:val="both"/>
        <w:rPr>
          <w:rFonts w:ascii="Arial" w:hAnsi="Arial" w:cs="Arial"/>
          <w:sz w:val="24"/>
          <w:szCs w:val="24"/>
        </w:rPr>
      </w:pPr>
      <w:r w:rsidRPr="00683C9F">
        <w:rPr>
          <w:rFonts w:ascii="Arial" w:hAnsi="Arial" w:cs="Arial"/>
          <w:sz w:val="24"/>
          <w:szCs w:val="24"/>
        </w:rPr>
        <w:tab/>
        <w:t>W ocenie WRDS w Województwie Małopolskim</w:t>
      </w:r>
      <w:r w:rsidR="00D779D4" w:rsidRPr="00683C9F">
        <w:rPr>
          <w:rFonts w:ascii="Arial" w:hAnsi="Arial" w:cs="Arial"/>
          <w:sz w:val="24"/>
          <w:szCs w:val="24"/>
        </w:rPr>
        <w:t xml:space="preserve">, </w:t>
      </w:r>
      <w:r w:rsidR="009721FF" w:rsidRPr="00683C9F">
        <w:rPr>
          <w:rFonts w:ascii="Arial" w:hAnsi="Arial" w:cs="Arial"/>
          <w:sz w:val="24"/>
          <w:szCs w:val="24"/>
        </w:rPr>
        <w:t xml:space="preserve">przekształcenie użytkowania wieczystego w prawo własności sprzyjać będzie rozwojowi gospodarczemu Kraju jako całości, ale także poszczególnych domen samorządowych, zdynamizuje procesy inwestycyjne, co służyć będzie nie tylko zwiększeniem korzyści budżetowych, ale także rozwojowi społeczności lokalnych. Sądzić należy, że wpłynie też na rozwój rynków pracy i </w:t>
      </w:r>
      <w:r w:rsidR="00FB48B9" w:rsidRPr="00683C9F">
        <w:rPr>
          <w:rFonts w:ascii="Arial" w:hAnsi="Arial" w:cs="Arial"/>
          <w:sz w:val="24"/>
          <w:szCs w:val="24"/>
        </w:rPr>
        <w:t xml:space="preserve">zaowocuje aktywizacją zawodową w wielu branżach. </w:t>
      </w:r>
    </w:p>
    <w:p w14:paraId="30C4748B" w14:textId="40867187" w:rsidR="004B7D42" w:rsidRPr="00683C9F" w:rsidRDefault="000A456E" w:rsidP="000A456E">
      <w:pPr>
        <w:ind w:firstLine="708"/>
        <w:jc w:val="both"/>
        <w:rPr>
          <w:rFonts w:ascii="Arial" w:hAnsi="Arial" w:cs="Arial"/>
          <w:sz w:val="24"/>
          <w:szCs w:val="24"/>
        </w:rPr>
      </w:pPr>
      <w:r w:rsidRPr="00683C9F">
        <w:rPr>
          <w:rFonts w:ascii="Arial" w:hAnsi="Arial" w:cs="Arial"/>
          <w:sz w:val="24"/>
          <w:szCs w:val="24"/>
        </w:rPr>
        <w:t xml:space="preserve">Z drugiej zaś strony, przekształcenie prawa użytkowania wieczystego w prawo własności nie powinno być postrzegane jako pomoc publiczna. Związane </w:t>
      </w:r>
      <w:r w:rsidR="000019CC">
        <w:rPr>
          <w:rFonts w:ascii="Arial" w:hAnsi="Arial" w:cs="Arial"/>
          <w:sz w:val="24"/>
          <w:szCs w:val="24"/>
        </w:rPr>
        <w:br/>
      </w:r>
      <w:r w:rsidRPr="00683C9F">
        <w:rPr>
          <w:rFonts w:ascii="Arial" w:hAnsi="Arial" w:cs="Arial"/>
          <w:sz w:val="24"/>
          <w:szCs w:val="24"/>
        </w:rPr>
        <w:t xml:space="preserve">z użytkowaniem wieczystym uprawnienie do przeniesienia tego prawa na inny podmiot sprawiło, że znacząca część użytkowników wieczystych nabyła to prawo </w:t>
      </w:r>
      <w:r w:rsidR="00E979BB" w:rsidRPr="00683C9F">
        <w:rPr>
          <w:rFonts w:ascii="Arial" w:hAnsi="Arial" w:cs="Arial"/>
          <w:sz w:val="24"/>
          <w:szCs w:val="24"/>
        </w:rPr>
        <w:t xml:space="preserve">we wtórnym </w:t>
      </w:r>
      <w:r w:rsidR="00E979BB" w:rsidRPr="00683C9F">
        <w:rPr>
          <w:rFonts w:ascii="Arial" w:hAnsi="Arial" w:cs="Arial"/>
          <w:sz w:val="24"/>
          <w:szCs w:val="24"/>
        </w:rPr>
        <w:lastRenderedPageBreak/>
        <w:t>obrocie prawnym, płacąc</w:t>
      </w:r>
      <w:r w:rsidR="000019CC">
        <w:rPr>
          <w:rFonts w:ascii="Arial" w:hAnsi="Arial" w:cs="Arial"/>
          <w:sz w:val="24"/>
          <w:szCs w:val="24"/>
        </w:rPr>
        <w:t xml:space="preserve"> </w:t>
      </w:r>
      <w:r w:rsidR="00E979BB" w:rsidRPr="00683C9F">
        <w:rPr>
          <w:rFonts w:ascii="Arial" w:hAnsi="Arial" w:cs="Arial"/>
          <w:sz w:val="24"/>
          <w:szCs w:val="24"/>
        </w:rPr>
        <w:t>z tego tytułu ceny odpowiadające rynkowym wartościom prawa. Co więcej, na znacznej części nieruchomości wybudowane lub zmodernizowane zost</w:t>
      </w:r>
      <w:r w:rsidR="000019CC">
        <w:rPr>
          <w:rFonts w:ascii="Arial" w:hAnsi="Arial" w:cs="Arial"/>
          <w:sz w:val="24"/>
          <w:szCs w:val="24"/>
        </w:rPr>
        <w:t xml:space="preserve">ały obiekty zwiększające wartość </w:t>
      </w:r>
      <w:r w:rsidR="00E979BB" w:rsidRPr="00683C9F">
        <w:rPr>
          <w:rFonts w:ascii="Arial" w:hAnsi="Arial" w:cs="Arial"/>
          <w:sz w:val="24"/>
          <w:szCs w:val="24"/>
        </w:rPr>
        <w:t xml:space="preserve">i użyteczność gruntu. Niewątpliwie więc za postulowaną w projekcie ustawy zmianą przemawiają względy </w:t>
      </w:r>
      <w:proofErr w:type="spellStart"/>
      <w:r w:rsidR="00E979BB" w:rsidRPr="00683C9F">
        <w:rPr>
          <w:rFonts w:ascii="Arial" w:hAnsi="Arial" w:cs="Arial"/>
          <w:sz w:val="24"/>
          <w:szCs w:val="24"/>
        </w:rPr>
        <w:t>słusznościowe</w:t>
      </w:r>
      <w:proofErr w:type="spellEnd"/>
      <w:r w:rsidR="00E979BB" w:rsidRPr="00683C9F">
        <w:rPr>
          <w:rFonts w:ascii="Arial" w:hAnsi="Arial" w:cs="Arial"/>
          <w:sz w:val="24"/>
          <w:szCs w:val="24"/>
        </w:rPr>
        <w:t xml:space="preserve"> i celowościowe. </w:t>
      </w:r>
    </w:p>
    <w:p w14:paraId="4B1F0E11" w14:textId="7BDE1E6D" w:rsidR="0097142C" w:rsidRPr="00683C9F" w:rsidRDefault="004B2B39" w:rsidP="000A456E">
      <w:pPr>
        <w:ind w:firstLine="708"/>
        <w:jc w:val="both"/>
        <w:rPr>
          <w:rFonts w:ascii="Arial" w:hAnsi="Arial" w:cs="Arial"/>
          <w:sz w:val="24"/>
          <w:szCs w:val="24"/>
        </w:rPr>
      </w:pPr>
      <w:r w:rsidRPr="00683C9F">
        <w:rPr>
          <w:rFonts w:ascii="Arial" w:hAnsi="Arial" w:cs="Arial"/>
          <w:sz w:val="24"/>
          <w:szCs w:val="24"/>
        </w:rPr>
        <w:t>WRDS</w:t>
      </w:r>
      <w:r w:rsidR="0097142C" w:rsidRPr="00683C9F">
        <w:rPr>
          <w:rFonts w:ascii="Arial" w:hAnsi="Arial" w:cs="Arial"/>
          <w:sz w:val="24"/>
          <w:szCs w:val="24"/>
        </w:rPr>
        <w:t xml:space="preserve"> w </w:t>
      </w:r>
      <w:r w:rsidR="00D52E84" w:rsidRPr="00683C9F">
        <w:rPr>
          <w:rFonts w:ascii="Arial" w:hAnsi="Arial" w:cs="Arial"/>
          <w:sz w:val="24"/>
          <w:szCs w:val="24"/>
        </w:rPr>
        <w:t xml:space="preserve">Województwie Małopolskim </w:t>
      </w:r>
      <w:r w:rsidR="0097142C" w:rsidRPr="00683C9F">
        <w:rPr>
          <w:rFonts w:ascii="Arial" w:hAnsi="Arial" w:cs="Arial"/>
          <w:sz w:val="24"/>
          <w:szCs w:val="24"/>
        </w:rPr>
        <w:t xml:space="preserve">z satysfakcją przyjmuje informację </w:t>
      </w:r>
      <w:r w:rsidR="000019CC">
        <w:rPr>
          <w:rFonts w:ascii="Arial" w:hAnsi="Arial" w:cs="Arial"/>
          <w:sz w:val="24"/>
          <w:szCs w:val="24"/>
        </w:rPr>
        <w:br/>
      </w:r>
      <w:r w:rsidR="0097142C" w:rsidRPr="00683C9F">
        <w:rPr>
          <w:rFonts w:ascii="Arial" w:hAnsi="Arial" w:cs="Arial"/>
          <w:sz w:val="24"/>
          <w:szCs w:val="24"/>
        </w:rPr>
        <w:t xml:space="preserve">o kierunku zmian legislacyjnych służących eliminacji z obrotu prawnego użytkowania wieczystego i wspiera inicjatywę ustawodawczą służącą ujednoliceniu władztwa nad nieruchomościami. </w:t>
      </w:r>
    </w:p>
    <w:p w14:paraId="558BA4BC" w14:textId="77777777" w:rsidR="004B7D42" w:rsidRDefault="004B7D42" w:rsidP="004B7D42">
      <w:pPr>
        <w:jc w:val="both"/>
        <w:rPr>
          <w:rFonts w:ascii="Times New Roman" w:hAnsi="Times New Roman" w:cs="Times New Roman"/>
          <w:sz w:val="24"/>
          <w:szCs w:val="24"/>
        </w:rPr>
      </w:pPr>
    </w:p>
    <w:p w14:paraId="693B9364" w14:textId="77777777" w:rsidR="004B7D42" w:rsidRDefault="004B7D42" w:rsidP="004B7D42">
      <w:pPr>
        <w:jc w:val="both"/>
        <w:rPr>
          <w:rFonts w:ascii="Times New Roman" w:hAnsi="Times New Roman" w:cs="Times New Roman"/>
          <w:sz w:val="24"/>
          <w:szCs w:val="24"/>
        </w:rPr>
      </w:pPr>
    </w:p>
    <w:p w14:paraId="2D924E07" w14:textId="77777777" w:rsidR="004B7D42" w:rsidRDefault="004B7D42" w:rsidP="004B7D42">
      <w:pPr>
        <w:rPr>
          <w:rFonts w:ascii="Times New Roman" w:hAnsi="Times New Roman" w:cs="Times New Roman"/>
          <w:sz w:val="24"/>
          <w:szCs w:val="24"/>
        </w:rPr>
      </w:pPr>
    </w:p>
    <w:p w14:paraId="60C82F31" w14:textId="77777777" w:rsidR="004B7D42" w:rsidRPr="0069140E" w:rsidRDefault="004B7D42" w:rsidP="004B7D42">
      <w:pPr>
        <w:rPr>
          <w:rFonts w:ascii="Times New Roman" w:hAnsi="Times New Roman" w:cs="Times New Roman"/>
          <w:sz w:val="24"/>
          <w:szCs w:val="24"/>
        </w:rPr>
      </w:pPr>
    </w:p>
    <w:p w14:paraId="77307CB7" w14:textId="77777777" w:rsidR="009E7494" w:rsidRPr="0069140E" w:rsidRDefault="009E7494">
      <w:pPr>
        <w:rPr>
          <w:rFonts w:ascii="Times New Roman" w:hAnsi="Times New Roman" w:cs="Times New Roman"/>
          <w:sz w:val="24"/>
          <w:szCs w:val="24"/>
        </w:rPr>
      </w:pPr>
    </w:p>
    <w:sectPr w:rsidR="009E7494" w:rsidRPr="00691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0E"/>
    <w:rsid w:val="000019CC"/>
    <w:rsid w:val="000742B2"/>
    <w:rsid w:val="000A456E"/>
    <w:rsid w:val="0021188D"/>
    <w:rsid w:val="0023213F"/>
    <w:rsid w:val="0029604A"/>
    <w:rsid w:val="003C4392"/>
    <w:rsid w:val="003D0387"/>
    <w:rsid w:val="004B2B39"/>
    <w:rsid w:val="004B7D42"/>
    <w:rsid w:val="004E5B6D"/>
    <w:rsid w:val="00683C9F"/>
    <w:rsid w:val="0069140E"/>
    <w:rsid w:val="006A039F"/>
    <w:rsid w:val="00791EB6"/>
    <w:rsid w:val="00792F76"/>
    <w:rsid w:val="007B36D7"/>
    <w:rsid w:val="0097142C"/>
    <w:rsid w:val="009721FF"/>
    <w:rsid w:val="009E7494"/>
    <w:rsid w:val="009F5FDB"/>
    <w:rsid w:val="00A31C39"/>
    <w:rsid w:val="00A45D4F"/>
    <w:rsid w:val="00A75F75"/>
    <w:rsid w:val="00A904A7"/>
    <w:rsid w:val="00B900C2"/>
    <w:rsid w:val="00BA6E9C"/>
    <w:rsid w:val="00C66E0A"/>
    <w:rsid w:val="00D01F27"/>
    <w:rsid w:val="00D52E84"/>
    <w:rsid w:val="00D571C0"/>
    <w:rsid w:val="00D779D4"/>
    <w:rsid w:val="00DC40A3"/>
    <w:rsid w:val="00E73646"/>
    <w:rsid w:val="00E95617"/>
    <w:rsid w:val="00E979BB"/>
    <w:rsid w:val="00F64317"/>
    <w:rsid w:val="00FB48B9"/>
    <w:rsid w:val="00FD50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6E5E"/>
  <w15:chartTrackingRefBased/>
  <w15:docId w15:val="{EAA27F56-462B-40EA-ABB1-A5F75CA7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B7D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7D42"/>
    <w:rPr>
      <w:rFonts w:ascii="Segoe UI" w:hAnsi="Segoe UI" w:cs="Segoe UI"/>
      <w:sz w:val="18"/>
      <w:szCs w:val="18"/>
    </w:rPr>
  </w:style>
  <w:style w:type="character" w:styleId="Odwoaniedokomentarza">
    <w:name w:val="annotation reference"/>
    <w:basedOn w:val="Domylnaczcionkaakapitu"/>
    <w:uiPriority w:val="99"/>
    <w:semiHidden/>
    <w:unhideWhenUsed/>
    <w:rsid w:val="00683C9F"/>
    <w:rPr>
      <w:sz w:val="16"/>
      <w:szCs w:val="16"/>
    </w:rPr>
  </w:style>
  <w:style w:type="paragraph" w:styleId="Tekstkomentarza">
    <w:name w:val="annotation text"/>
    <w:basedOn w:val="Normalny"/>
    <w:link w:val="TekstkomentarzaZnak"/>
    <w:uiPriority w:val="99"/>
    <w:semiHidden/>
    <w:unhideWhenUsed/>
    <w:rsid w:val="00683C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3C9F"/>
    <w:rPr>
      <w:sz w:val="20"/>
      <w:szCs w:val="20"/>
    </w:rPr>
  </w:style>
  <w:style w:type="paragraph" w:styleId="Tematkomentarza">
    <w:name w:val="annotation subject"/>
    <w:basedOn w:val="Tekstkomentarza"/>
    <w:next w:val="Tekstkomentarza"/>
    <w:link w:val="TematkomentarzaZnak"/>
    <w:uiPriority w:val="99"/>
    <w:semiHidden/>
    <w:unhideWhenUsed/>
    <w:rsid w:val="00683C9F"/>
    <w:rPr>
      <w:b/>
      <w:bCs/>
    </w:rPr>
  </w:style>
  <w:style w:type="character" w:customStyle="1" w:styleId="TematkomentarzaZnak">
    <w:name w:val="Temat komentarza Znak"/>
    <w:basedOn w:val="TekstkomentarzaZnak"/>
    <w:link w:val="Tematkomentarza"/>
    <w:uiPriority w:val="99"/>
    <w:semiHidden/>
    <w:rsid w:val="00683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3159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Derewińska, Dobrochna</dc:creator>
  <cp:keywords/>
  <dc:description/>
  <cp:lastModifiedBy>Muszyńska, Magdalena</cp:lastModifiedBy>
  <cp:revision>2</cp:revision>
  <cp:lastPrinted>2022-03-30T09:06:00Z</cp:lastPrinted>
  <dcterms:created xsi:type="dcterms:W3CDTF">2022-10-12T09:26:00Z</dcterms:created>
  <dcterms:modified xsi:type="dcterms:W3CDTF">2022-10-12T09:26:00Z</dcterms:modified>
</cp:coreProperties>
</file>