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4B" w:rsidRPr="008C76E2" w:rsidRDefault="0031334B" w:rsidP="0031334B">
      <w:pPr>
        <w:keepNext/>
        <w:spacing w:line="360" w:lineRule="auto"/>
        <w:jc w:val="center"/>
        <w:outlineLvl w:val="1"/>
        <w:rPr>
          <w:rFonts w:ascii="Arial" w:eastAsia="Arial Unicode MS" w:hAnsi="Arial" w:cs="Arial"/>
          <w:b/>
          <w:sz w:val="20"/>
          <w:szCs w:val="20"/>
        </w:rPr>
      </w:pPr>
      <w:bookmarkStart w:id="0" w:name="_GoBack"/>
      <w:bookmarkEnd w:id="0"/>
      <w:r w:rsidRPr="008C76E2">
        <w:rPr>
          <w:rFonts w:ascii="Arial" w:eastAsia="Arial Unicode MS" w:hAnsi="Arial" w:cs="Arial"/>
          <w:b/>
          <w:sz w:val="20"/>
          <w:szCs w:val="20"/>
        </w:rPr>
        <w:t>Zarząd Województwa Małopolskiego</w:t>
      </w:r>
      <w:r w:rsidRPr="008C76E2">
        <w:rPr>
          <w:rFonts w:ascii="Arial" w:eastAsia="Arial Unicode MS" w:hAnsi="Arial" w:cs="Arial"/>
          <w:b/>
          <w:sz w:val="20"/>
          <w:szCs w:val="20"/>
        </w:rPr>
        <w:br/>
        <w:t xml:space="preserve">zgodnie z art. 35 ustawy z dn. 21 sierpnia 1997 r. o gospodarce nieruchomościami </w:t>
      </w:r>
    </w:p>
    <w:p w:rsidR="0031334B" w:rsidRPr="008C76E2" w:rsidRDefault="0031334B" w:rsidP="0031334B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8C76E2">
        <w:rPr>
          <w:rFonts w:ascii="Arial" w:hAnsi="Arial" w:cs="Arial"/>
          <w:sz w:val="20"/>
          <w:szCs w:val="20"/>
          <w:lang w:eastAsia="en-US"/>
        </w:rPr>
        <w:t>(</w:t>
      </w:r>
      <w:r w:rsidR="004A39B6" w:rsidRPr="008C76E2">
        <w:rPr>
          <w:rFonts w:ascii="Arial" w:hAnsi="Arial" w:cs="Arial"/>
          <w:sz w:val="20"/>
          <w:szCs w:val="20"/>
          <w:lang w:eastAsia="en-US"/>
        </w:rPr>
        <w:t>tekst jedn. Dz. U. z 2023 r. poz. 344</w:t>
      </w:r>
      <w:r w:rsidRPr="008C76E2">
        <w:rPr>
          <w:rFonts w:ascii="Arial" w:hAnsi="Arial" w:cs="Arial"/>
          <w:sz w:val="20"/>
          <w:szCs w:val="20"/>
          <w:lang w:eastAsia="en-US"/>
        </w:rPr>
        <w:t>)</w:t>
      </w:r>
    </w:p>
    <w:p w:rsidR="0031334B" w:rsidRPr="008C76E2" w:rsidRDefault="0031334B" w:rsidP="0031334B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eastAsia="en-US"/>
        </w:rPr>
      </w:pPr>
      <w:r w:rsidRPr="008C76E2">
        <w:rPr>
          <w:rFonts w:ascii="Arial" w:hAnsi="Arial" w:cs="Arial"/>
          <w:b/>
          <w:bCs/>
          <w:sz w:val="20"/>
          <w:szCs w:val="20"/>
          <w:lang w:eastAsia="en-US"/>
        </w:rPr>
        <w:t>podaje do publicznej wiadomości</w:t>
      </w:r>
      <w:r w:rsidRPr="008C76E2">
        <w:rPr>
          <w:rFonts w:ascii="Arial" w:hAnsi="Arial" w:cs="Arial"/>
          <w:b/>
          <w:bCs/>
          <w:color w:val="FF0000"/>
          <w:sz w:val="20"/>
          <w:szCs w:val="20"/>
          <w:lang w:eastAsia="en-US"/>
        </w:rPr>
        <w:br/>
      </w:r>
      <w:r w:rsidRPr="008C76E2">
        <w:rPr>
          <w:rFonts w:ascii="Arial" w:hAnsi="Arial" w:cs="Arial"/>
          <w:sz w:val="20"/>
          <w:szCs w:val="20"/>
          <w:lang w:eastAsia="en-US"/>
        </w:rPr>
        <w:t xml:space="preserve">wykaz </w:t>
      </w:r>
      <w:r w:rsidR="006F4BA7" w:rsidRPr="008C76E2">
        <w:rPr>
          <w:rFonts w:ascii="Arial" w:hAnsi="Arial" w:cs="Arial"/>
          <w:sz w:val="20"/>
          <w:szCs w:val="20"/>
          <w:lang w:eastAsia="en-US"/>
        </w:rPr>
        <w:t>nieruchomości przeznaczonej do oddania w użyczenie</w:t>
      </w:r>
      <w:r w:rsidR="00C65694" w:rsidRPr="008C76E2">
        <w:rPr>
          <w:rFonts w:ascii="Arial" w:hAnsi="Arial" w:cs="Arial"/>
          <w:sz w:val="20"/>
          <w:szCs w:val="20"/>
          <w:lang w:eastAsia="en-US"/>
        </w:rPr>
        <w:t xml:space="preserve"> na czas nieoznaczony</w:t>
      </w:r>
      <w:r w:rsidR="00810ECE">
        <w:rPr>
          <w:rFonts w:ascii="Arial" w:hAnsi="Arial" w:cs="Arial"/>
          <w:sz w:val="20"/>
          <w:szCs w:val="20"/>
          <w:lang w:eastAsia="en-US"/>
        </w:rPr>
        <w:t xml:space="preserve"> na rzecz </w:t>
      </w:r>
      <w:r w:rsidR="00810ECE" w:rsidRPr="00810ECE">
        <w:rPr>
          <w:rFonts w:ascii="Arial" w:hAnsi="Arial" w:cs="Arial"/>
          <w:sz w:val="20"/>
          <w:szCs w:val="20"/>
          <w:lang w:eastAsia="en-US"/>
        </w:rPr>
        <w:t>Muzeum Okręgowe</w:t>
      </w:r>
      <w:r w:rsidR="00810ECE">
        <w:rPr>
          <w:rFonts w:ascii="Arial" w:hAnsi="Arial" w:cs="Arial"/>
          <w:sz w:val="20"/>
          <w:szCs w:val="20"/>
          <w:lang w:eastAsia="en-US"/>
        </w:rPr>
        <w:t>go</w:t>
      </w:r>
      <w:r w:rsidR="00810ECE" w:rsidRPr="00810ECE">
        <w:rPr>
          <w:rFonts w:ascii="Arial" w:hAnsi="Arial" w:cs="Arial"/>
          <w:sz w:val="20"/>
          <w:szCs w:val="20"/>
          <w:lang w:eastAsia="en-US"/>
        </w:rPr>
        <w:t xml:space="preserve"> w Nowym Sączu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ej do oddania w użyczenie"/>
        <w:tblDescription w:val="wykaz zawiera opis nieruchomości położonej w Wieliczce przeznaczonej do oddania w użyczenie na rzecz Krakowskiego Pogotowia Ratunkowego"/>
      </w:tblPr>
      <w:tblGrid>
        <w:gridCol w:w="750"/>
        <w:gridCol w:w="1009"/>
        <w:gridCol w:w="2205"/>
        <w:gridCol w:w="1276"/>
        <w:gridCol w:w="3969"/>
        <w:gridCol w:w="3827"/>
      </w:tblGrid>
      <w:tr w:rsidR="0031334B" w:rsidRPr="00EF022C" w:rsidTr="002A1194">
        <w:trPr>
          <w:trHeight w:val="87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31334B" w:rsidRPr="00C9105C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Położenie i opis nieruchomości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31334B" w:rsidRPr="00C9105C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31334B" w:rsidRPr="00EF022C" w:rsidTr="002A1194">
        <w:trPr>
          <w:trHeight w:val="7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31334B" w:rsidRPr="00C9105C" w:rsidRDefault="0031334B" w:rsidP="00CC5F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C9105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EF022C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EF022C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EF022C" w:rsidRDefault="0031334B" w:rsidP="00CC5F0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31334B" w:rsidRPr="00EF022C" w:rsidTr="002A1194">
        <w:trPr>
          <w:trHeight w:val="4468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567076" w:rsidRDefault="00972289" w:rsidP="00567076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289" w:rsidRPr="00567076" w:rsidRDefault="00972289" w:rsidP="00567076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76</w:t>
            </w:r>
          </w:p>
          <w:p w:rsidR="0031334B" w:rsidRPr="00567076" w:rsidRDefault="00972289" w:rsidP="00567076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Nowy Sącz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567076" w:rsidRDefault="00972289" w:rsidP="00567076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567076">
              <w:rPr>
                <w:rFonts w:ascii="Arial" w:hAnsi="Arial" w:cs="Arial"/>
                <w:sz w:val="18"/>
                <w:szCs w:val="16"/>
              </w:rPr>
              <w:t>NS1S/00084927/9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567076" w:rsidRDefault="00972289" w:rsidP="00567076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  <w:lang w:eastAsia="en-US"/>
              </w:rPr>
            </w:pP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0,1684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34B" w:rsidRPr="00567076" w:rsidRDefault="007C704A" w:rsidP="005B14A5">
            <w:pPr>
              <w:jc w:val="center"/>
              <w:rPr>
                <w:rFonts w:ascii="Arial" w:hAnsi="Arial" w:cs="Arial"/>
                <w:color w:val="FF0000"/>
                <w:sz w:val="18"/>
                <w:szCs w:val="16"/>
                <w:lang w:eastAsia="en-US"/>
              </w:rPr>
            </w:pP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Nieruchomość położona w</w:t>
            </w:r>
            <w:r w:rsidR="002C3A0C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</w:t>
            </w:r>
            <w:r w:rsidR="00843B23">
              <w:rPr>
                <w:rFonts w:ascii="Arial" w:hAnsi="Arial" w:cs="Arial"/>
                <w:sz w:val="18"/>
                <w:szCs w:val="16"/>
                <w:lang w:eastAsia="en-US"/>
              </w:rPr>
              <w:t>śródmiejskiej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części miasta Nowy Sącz, przy ulicy Jagiellońskiej 45. Nieruchomość ma kształt </w:t>
            </w:r>
            <w:r w:rsidR="002C3A0C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regularny,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zbliżony do kwadratu, </w:t>
            </w:r>
            <w:r w:rsidR="002C3A0C" w:rsidRPr="00567076">
              <w:rPr>
                <w:rFonts w:ascii="Arial" w:hAnsi="Arial" w:cs="Arial"/>
                <w:sz w:val="18"/>
                <w:szCs w:val="16"/>
                <w:lang w:eastAsia="en-US"/>
              </w:rPr>
              <w:t>posiada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bezpośredni</w:t>
            </w:r>
            <w:r w:rsidR="002C3A0C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dostęp do </w:t>
            </w:r>
            <w:r w:rsidR="00843B23">
              <w:rPr>
                <w:rFonts w:ascii="Arial" w:hAnsi="Arial" w:cs="Arial"/>
                <w:sz w:val="18"/>
                <w:szCs w:val="16"/>
                <w:lang w:eastAsia="en-US"/>
              </w:rPr>
              <w:t>ulicy Jagiellońskiej</w:t>
            </w:r>
            <w:r w:rsidR="00655425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.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Nieruchomość jest uzbrojona </w:t>
            </w:r>
            <w:r w:rsidR="005B14A5">
              <w:rPr>
                <w:rFonts w:ascii="Arial" w:hAnsi="Arial" w:cs="Arial"/>
                <w:sz w:val="18"/>
                <w:szCs w:val="16"/>
                <w:lang w:eastAsia="en-US"/>
              </w:rPr>
              <w:t>we wszystkie podstawowe urządzenia infrastruktury technicznej</w:t>
            </w:r>
            <w:r w:rsidR="00362F66" w:rsidRPr="00567076">
              <w:rPr>
                <w:rFonts w:ascii="Arial" w:hAnsi="Arial" w:cs="Arial"/>
                <w:sz w:val="18"/>
                <w:szCs w:val="16"/>
                <w:lang w:eastAsia="en-US"/>
              </w:rPr>
              <w:t>.</w:t>
            </w:r>
            <w:r w:rsidR="007E1338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Nieruchomość jest zabudowana czterema budynkami, wykorzystywanymi dotychczas do celów dydaktycznych.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4B" w:rsidRPr="00567076" w:rsidRDefault="00567076" w:rsidP="00567076">
            <w:pPr>
              <w:jc w:val="center"/>
              <w:rPr>
                <w:rFonts w:ascii="Arial" w:hAnsi="Arial" w:cs="Arial"/>
                <w:sz w:val="18"/>
                <w:szCs w:val="16"/>
                <w:lang w:eastAsia="en-US"/>
              </w:rPr>
            </w:pP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Z</w:t>
            </w:r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godnie z Miejscowym Planem Zagospodarowania Przestrzennego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„Nowy Sącz </w:t>
            </w:r>
            <w:r>
              <w:rPr>
                <w:rFonts w:ascii="Arial" w:hAnsi="Arial" w:cs="Arial"/>
                <w:sz w:val="18"/>
                <w:szCs w:val="16"/>
                <w:lang w:eastAsia="en-US"/>
              </w:rPr>
              <w:t>–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29</w:t>
            </w:r>
            <w:r>
              <w:rPr>
                <w:rFonts w:ascii="Arial" w:hAnsi="Arial" w:cs="Arial"/>
                <w:sz w:val="18"/>
                <w:szCs w:val="16"/>
                <w:lang w:eastAsia="en-US"/>
              </w:rPr>
              <w:t xml:space="preserve">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Śródmieście”</w:t>
            </w:r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, przyjętego uchwałą Nr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XV/147/2015 </w:t>
            </w:r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Rady Miejskiej z dnia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15 września 2015 </w:t>
            </w:r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roku, opublikowaną w Dz. Urz. Woj. </w:t>
            </w:r>
            <w:proofErr w:type="spellStart"/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>Małop</w:t>
            </w:r>
            <w:proofErr w:type="spellEnd"/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>. z 201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5 roku</w:t>
            </w:r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poz.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5651,</w:t>
            </w:r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działka nr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48</w:t>
            </w:r>
            <w:r w:rsidR="00D552CE" w:rsidRPr="00567076">
              <w:rPr>
                <w:rFonts w:ascii="Arial" w:hAnsi="Arial" w:cs="Arial"/>
                <w:sz w:val="18"/>
                <w:szCs w:val="16"/>
                <w:lang w:eastAsia="en-US"/>
              </w:rPr>
              <w:t xml:space="preserve"> znajduje się w terenach </w:t>
            </w:r>
            <w:r w:rsidRPr="00567076">
              <w:rPr>
                <w:rFonts w:ascii="Arial" w:hAnsi="Arial" w:cs="Arial"/>
                <w:sz w:val="18"/>
                <w:szCs w:val="16"/>
                <w:lang w:eastAsia="en-US"/>
              </w:rPr>
              <w:t>usług (C34U)</w:t>
            </w:r>
            <w:r w:rsidR="003C497D">
              <w:rPr>
                <w:rFonts w:ascii="Arial" w:hAnsi="Arial" w:cs="Arial"/>
                <w:sz w:val="18"/>
                <w:szCs w:val="16"/>
                <w:lang w:eastAsia="en-US"/>
              </w:rPr>
              <w:t>.</w:t>
            </w:r>
          </w:p>
        </w:tc>
      </w:tr>
    </w:tbl>
    <w:p w:rsidR="0031334B" w:rsidRPr="00EF022C" w:rsidRDefault="0031334B" w:rsidP="0031334B">
      <w:pPr>
        <w:spacing w:after="120"/>
        <w:jc w:val="both"/>
        <w:rPr>
          <w:rFonts w:ascii="Arial" w:eastAsia="Arial Unicode MS" w:hAnsi="Arial" w:cs="Arial"/>
          <w:sz w:val="16"/>
          <w:szCs w:val="16"/>
          <w:highlight w:val="yellow"/>
        </w:rPr>
      </w:pPr>
    </w:p>
    <w:p w:rsidR="00EB1409" w:rsidRPr="00EC4B20" w:rsidRDefault="0031334B" w:rsidP="00EC4B20">
      <w:pPr>
        <w:jc w:val="both"/>
        <w:rPr>
          <w:rFonts w:ascii="Arial" w:eastAsia="Arial Unicode MS" w:hAnsi="Arial" w:cs="Arial"/>
          <w:sz w:val="16"/>
          <w:szCs w:val="16"/>
          <w:lang w:val="x-none"/>
        </w:rPr>
      </w:pPr>
      <w:r w:rsidRPr="00F72051">
        <w:rPr>
          <w:rFonts w:ascii="Arial" w:eastAsia="Arial Unicode MS" w:hAnsi="Arial" w:cs="Arial"/>
          <w:sz w:val="16"/>
          <w:szCs w:val="16"/>
        </w:rPr>
        <w:t>Niniejszy wykaz zostaje wyw</w:t>
      </w:r>
      <w:r w:rsidR="00D92EEE">
        <w:rPr>
          <w:rFonts w:ascii="Arial" w:eastAsia="Arial Unicode MS" w:hAnsi="Arial" w:cs="Arial"/>
          <w:sz w:val="16"/>
          <w:szCs w:val="16"/>
        </w:rPr>
        <w:t xml:space="preserve">ieszony na okres 21 dni tj. od </w:t>
      </w:r>
      <w:r w:rsidR="00D92EEE" w:rsidRPr="00D92EEE">
        <w:rPr>
          <w:rFonts w:ascii="Arial" w:eastAsia="Arial Unicode MS" w:hAnsi="Arial" w:cs="Arial"/>
          <w:sz w:val="16"/>
          <w:szCs w:val="16"/>
        </w:rPr>
        <w:t xml:space="preserve">24 maja 2023 r. do 13 czerwca 2023 r. </w:t>
      </w:r>
      <w:r w:rsidRPr="00F72051">
        <w:rPr>
          <w:rFonts w:ascii="Arial" w:eastAsia="Arial Unicode MS" w:hAnsi="Arial" w:cs="Arial"/>
          <w:sz w:val="16"/>
          <w:szCs w:val="16"/>
        </w:rPr>
        <w:t>na tablicy ogłoszeń w siedzibie Urzędu Marszałkowskiego Województwa Małopolskiego ul. Racławicka 56 w Krakowie (parter oraz III p. nowy budynek) oraz opublikowany w Biuletynie Informacji Publicznej Urzędu  Marszałkowskiego Województwa Małopolskiego i na stronie internetowej Urzędu Marszałkowskiego Województwa Małopolskiego.</w:t>
      </w:r>
    </w:p>
    <w:sectPr w:rsidR="00EB1409" w:rsidRPr="00EC4B20" w:rsidSect="00A02A5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F"/>
    <w:rsid w:val="00012262"/>
    <w:rsid w:val="00031C95"/>
    <w:rsid w:val="00052DB2"/>
    <w:rsid w:val="000A7C30"/>
    <w:rsid w:val="000B7685"/>
    <w:rsid w:val="001041F5"/>
    <w:rsid w:val="0016433E"/>
    <w:rsid w:val="001C303E"/>
    <w:rsid w:val="00201A85"/>
    <w:rsid w:val="00260374"/>
    <w:rsid w:val="00272282"/>
    <w:rsid w:val="002A1194"/>
    <w:rsid w:val="002C3A0C"/>
    <w:rsid w:val="002C785A"/>
    <w:rsid w:val="002E0964"/>
    <w:rsid w:val="0031334B"/>
    <w:rsid w:val="00362F66"/>
    <w:rsid w:val="00381DFA"/>
    <w:rsid w:val="003C497D"/>
    <w:rsid w:val="0043717F"/>
    <w:rsid w:val="004A39B6"/>
    <w:rsid w:val="00567076"/>
    <w:rsid w:val="005706DE"/>
    <w:rsid w:val="00582A3F"/>
    <w:rsid w:val="005A327C"/>
    <w:rsid w:val="005B14A5"/>
    <w:rsid w:val="00655425"/>
    <w:rsid w:val="00697D80"/>
    <w:rsid w:val="006A4D86"/>
    <w:rsid w:val="006C5EE8"/>
    <w:rsid w:val="006F4BA7"/>
    <w:rsid w:val="00731215"/>
    <w:rsid w:val="00770C32"/>
    <w:rsid w:val="007C704A"/>
    <w:rsid w:val="007E1338"/>
    <w:rsid w:val="007F0F9C"/>
    <w:rsid w:val="00810ECE"/>
    <w:rsid w:val="00843B23"/>
    <w:rsid w:val="008539A1"/>
    <w:rsid w:val="008C76E2"/>
    <w:rsid w:val="00931014"/>
    <w:rsid w:val="00972289"/>
    <w:rsid w:val="009925DB"/>
    <w:rsid w:val="009A4DF7"/>
    <w:rsid w:val="009B151B"/>
    <w:rsid w:val="00A849D8"/>
    <w:rsid w:val="00AE4125"/>
    <w:rsid w:val="00B5061C"/>
    <w:rsid w:val="00C36FFA"/>
    <w:rsid w:val="00C63419"/>
    <w:rsid w:val="00C65694"/>
    <w:rsid w:val="00C65892"/>
    <w:rsid w:val="00C9105C"/>
    <w:rsid w:val="00CD41B9"/>
    <w:rsid w:val="00D552CE"/>
    <w:rsid w:val="00D8680F"/>
    <w:rsid w:val="00D90DF0"/>
    <w:rsid w:val="00D92EEE"/>
    <w:rsid w:val="00DC1512"/>
    <w:rsid w:val="00DF7038"/>
    <w:rsid w:val="00E20F08"/>
    <w:rsid w:val="00EB1409"/>
    <w:rsid w:val="00EB359E"/>
    <w:rsid w:val="00EC4B20"/>
    <w:rsid w:val="00EF022C"/>
    <w:rsid w:val="00F72051"/>
    <w:rsid w:val="00F741FF"/>
    <w:rsid w:val="00F83B1D"/>
    <w:rsid w:val="00F933A2"/>
    <w:rsid w:val="00FA1A4B"/>
    <w:rsid w:val="00FC4965"/>
    <w:rsid w:val="00F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B29D-33D4-45FB-8A93-CDDFBDC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Kurek, Anna</cp:lastModifiedBy>
  <cp:revision>2</cp:revision>
  <cp:lastPrinted>2023-03-28T11:58:00Z</cp:lastPrinted>
  <dcterms:created xsi:type="dcterms:W3CDTF">2023-05-24T05:47:00Z</dcterms:created>
  <dcterms:modified xsi:type="dcterms:W3CDTF">2023-05-24T05:47:00Z</dcterms:modified>
</cp:coreProperties>
</file>