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A7" w:rsidRDefault="00CD38CE" w:rsidP="00CD38CE">
      <w:pPr>
        <w:spacing w:before="240" w:after="360"/>
        <w:jc w:val="right"/>
        <w:rPr>
          <w:rFonts w:ascii="Calibri" w:eastAsia="Times New Roman" w:hAnsi="Calibri" w:cs="Times New Roman"/>
          <w:color w:val="000000"/>
          <w:u w:color="548DD4" w:themeColor="text2" w:themeTint="9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762125" cy="781050"/>
            <wp:effectExtent l="0" t="0" r="9525" b="0"/>
            <wp:wrapSquare wrapText="bothSides"/>
            <wp:docPr id="1" name="Obraz 1" descr="WRDS logo kol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RDS logo kolor (2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FAD" w:rsidRDefault="00E55FAD" w:rsidP="00CD38CE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</w:rPr>
      </w:pPr>
    </w:p>
    <w:p w:rsidR="00F43089" w:rsidRDefault="00F43089" w:rsidP="00CD38CE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</w:rPr>
      </w:pPr>
    </w:p>
    <w:p w:rsidR="00527592" w:rsidRDefault="00CD38CE" w:rsidP="00CD38CE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</w:rPr>
      </w:pPr>
      <w:r w:rsidRPr="00CD38CE">
        <w:rPr>
          <w:rFonts w:ascii="Arial" w:eastAsiaTheme="majorEastAsia" w:hAnsi="Arial" w:cs="Arial"/>
          <w:b/>
          <w:sz w:val="24"/>
          <w:szCs w:val="24"/>
        </w:rPr>
        <w:t xml:space="preserve">Stanowisko Wojewódzkiej Rady Dialogu Społecznego </w:t>
      </w:r>
      <w:r w:rsidR="00527592">
        <w:rPr>
          <w:rFonts w:ascii="Arial" w:eastAsiaTheme="majorEastAsia" w:hAnsi="Arial" w:cs="Arial"/>
          <w:b/>
          <w:sz w:val="24"/>
          <w:szCs w:val="24"/>
        </w:rPr>
        <w:br/>
      </w:r>
      <w:r>
        <w:rPr>
          <w:rFonts w:ascii="Arial" w:eastAsiaTheme="majorEastAsia" w:hAnsi="Arial" w:cs="Arial"/>
          <w:b/>
          <w:sz w:val="24"/>
          <w:szCs w:val="24"/>
        </w:rPr>
        <w:t xml:space="preserve">w Województwie </w:t>
      </w:r>
      <w:r w:rsidRPr="00CD38CE">
        <w:rPr>
          <w:rFonts w:ascii="Arial" w:eastAsiaTheme="majorEastAsia" w:hAnsi="Arial" w:cs="Arial"/>
          <w:b/>
          <w:sz w:val="24"/>
          <w:szCs w:val="24"/>
        </w:rPr>
        <w:t xml:space="preserve">Małopolskim z dnia </w:t>
      </w:r>
      <w:r w:rsidR="00F43089">
        <w:rPr>
          <w:rFonts w:ascii="Arial" w:eastAsiaTheme="majorEastAsia" w:hAnsi="Arial" w:cs="Arial"/>
          <w:b/>
          <w:sz w:val="24"/>
          <w:szCs w:val="24"/>
        </w:rPr>
        <w:t>15</w:t>
      </w:r>
      <w:r w:rsidRPr="00CD38CE">
        <w:rPr>
          <w:rFonts w:ascii="Arial" w:eastAsiaTheme="majorEastAsia" w:hAnsi="Arial" w:cs="Arial"/>
          <w:b/>
          <w:sz w:val="24"/>
          <w:szCs w:val="24"/>
        </w:rPr>
        <w:t xml:space="preserve"> czerwca 2023 roku </w:t>
      </w:r>
    </w:p>
    <w:p w:rsidR="002555A7" w:rsidRPr="00CD38CE" w:rsidRDefault="00CD38CE" w:rsidP="00CD38CE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</w:rPr>
      </w:pPr>
      <w:r w:rsidRPr="00CD38CE">
        <w:rPr>
          <w:rFonts w:ascii="Arial" w:eastAsiaTheme="majorEastAsia" w:hAnsi="Arial" w:cs="Arial"/>
          <w:b/>
          <w:sz w:val="24"/>
          <w:szCs w:val="24"/>
        </w:rPr>
        <w:t xml:space="preserve">w sprawie </w:t>
      </w:r>
      <w:r w:rsidR="002555A7" w:rsidRPr="00CD38CE">
        <w:rPr>
          <w:rFonts w:ascii="Arial" w:eastAsiaTheme="majorEastAsia" w:hAnsi="Arial" w:cs="Arial"/>
          <w:b/>
          <w:sz w:val="24"/>
          <w:szCs w:val="24"/>
        </w:rPr>
        <w:t>oceny funkcjonowania</w:t>
      </w:r>
      <w:r w:rsidR="00527592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2555A7" w:rsidRPr="00CD38CE">
        <w:rPr>
          <w:rFonts w:ascii="Arial" w:eastAsiaTheme="majorEastAsia" w:hAnsi="Arial" w:cs="Arial"/>
          <w:b/>
          <w:sz w:val="24"/>
          <w:szCs w:val="24"/>
        </w:rPr>
        <w:t>ustawy o sposobie ustalania najniższego wynagrodzenia zasadniczego</w:t>
      </w:r>
      <w:r w:rsidR="00527592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2555A7" w:rsidRPr="00CD38CE">
        <w:rPr>
          <w:rFonts w:ascii="Arial" w:eastAsiaTheme="majorEastAsia" w:hAnsi="Arial" w:cs="Arial"/>
          <w:b/>
          <w:sz w:val="24"/>
          <w:szCs w:val="24"/>
        </w:rPr>
        <w:t xml:space="preserve">niektórych pracowników zatrudnionych </w:t>
      </w:r>
      <w:r w:rsidR="00527592">
        <w:rPr>
          <w:rFonts w:ascii="Arial" w:eastAsiaTheme="majorEastAsia" w:hAnsi="Arial" w:cs="Arial"/>
          <w:b/>
          <w:sz w:val="24"/>
          <w:szCs w:val="24"/>
        </w:rPr>
        <w:br/>
      </w:r>
      <w:r w:rsidR="002555A7" w:rsidRPr="00CD38CE">
        <w:rPr>
          <w:rFonts w:ascii="Arial" w:eastAsiaTheme="majorEastAsia" w:hAnsi="Arial" w:cs="Arial"/>
          <w:b/>
          <w:sz w:val="24"/>
          <w:szCs w:val="24"/>
        </w:rPr>
        <w:t>w podmiotach leczniczych</w:t>
      </w:r>
      <w:r w:rsidR="00527592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F43089">
        <w:rPr>
          <w:rFonts w:ascii="Arial" w:eastAsiaTheme="majorEastAsia" w:hAnsi="Arial" w:cs="Arial"/>
          <w:b/>
          <w:sz w:val="24"/>
          <w:szCs w:val="24"/>
        </w:rPr>
        <w:t>oraz potrzeby jej nowelizacji</w:t>
      </w:r>
    </w:p>
    <w:p w:rsidR="002555A7" w:rsidRPr="00CD38CE" w:rsidRDefault="002555A7" w:rsidP="00CA1FBF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u w:color="548DD4" w:themeColor="text2" w:themeTint="99"/>
          <w:lang w:eastAsia="pl-PL"/>
        </w:rPr>
      </w:pPr>
    </w:p>
    <w:p w:rsidR="002140A4" w:rsidRPr="00527592" w:rsidRDefault="002140A4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Ustawa</w:t>
      </w:r>
      <w:r w:rsidR="00BD00C0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</w:t>
      </w:r>
      <w:r w:rsidR="002555A7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o sposobie ustalania najniższego wynagrodzenia zasadniczego niektórych pracowników zatrudnionych w podmiotach leczniczych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powstała w reakcji na niebezpiecznie narastające w służbie zdrowia niezadowolenie pracowników </w:t>
      </w:r>
      <w:r w:rsid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br/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z poziomu i struktury wynagrodzeń w podmiotach leczniczych, a także na tle coraz większych antagonizmów grupowych. </w:t>
      </w:r>
    </w:p>
    <w:p w:rsidR="00685DCA" w:rsidRPr="00527592" w:rsidRDefault="002140A4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Zawiera założenie realneg</w:t>
      </w:r>
      <w:r w:rsid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o, systematycznego, corocznego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wzrostu poziomu wynagrodzeń w ochronie zdrowia  w stosunku do przeciętnego wynagrodzenia </w:t>
      </w:r>
      <w:r w:rsid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br/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w gospodarce narodowej. Następuje to poprzez podnoszenie </w:t>
      </w:r>
      <w:r w:rsidR="00BD00C0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najniższego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</w:t>
      </w:r>
      <w:r w:rsidR="00BD00C0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gwarantowanego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wynagrodzenia</w:t>
      </w:r>
      <w:r w:rsidR="00BD00C0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zasadniczego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dla pracowników poszczególnych grup zawodowych. </w:t>
      </w:r>
    </w:p>
    <w:p w:rsidR="005F1F64" w:rsidRPr="00527592" w:rsidRDefault="00CA1FBF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Jednomyślnym z</w:t>
      </w:r>
      <w:r w:rsidR="002140A4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daniem stron dialogu Wojewódzkiej Rady Dialogu Społecznego </w:t>
      </w:r>
      <w:r w:rsid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br/>
      </w:r>
      <w:r w:rsidR="00685DCA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w Województwie</w:t>
      </w:r>
      <w:r w:rsidR="002140A4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Małopolski</w:t>
      </w:r>
      <w:r w:rsidR="00685DCA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m </w:t>
      </w:r>
      <w:r w:rsidR="002140A4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ustawa wymaga jednak dalszego doskonalenia. </w:t>
      </w:r>
    </w:p>
    <w:p w:rsidR="00BD00C0" w:rsidRPr="00527592" w:rsidRDefault="00685DCA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W ustawie brak jest gwarancji środków na podwyżki wynagrodzeń, czego przykładem jest sytuacja z 2022r., kiedy wystąpiło  niewystarczające zabezpieczenie środków dla wprowadzenia podwyżek</w:t>
      </w:r>
      <w:r w:rsidR="005261B3"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. </w:t>
      </w:r>
    </w:p>
    <w:p w:rsidR="005261B3" w:rsidRPr="00527592" w:rsidRDefault="005261B3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>Wskazane jest realne</w:t>
      </w:r>
      <w:r w:rsidR="000774D4"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 </w:t>
      </w: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>szacowanie środków finansowych potrzebnych na realizację ustawy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przez A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gencję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O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ceny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T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echnologii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M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edycznych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i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T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aryfikacji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 </w:t>
      </w:r>
      <w:r w:rsidR="00012680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br/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z korektą za okres </w:t>
      </w:r>
      <w:r w:rsidR="00F43089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0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1.</w:t>
      </w:r>
      <w:r w:rsidR="00F43089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0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7.2022 - </w:t>
      </w:r>
      <w:r w:rsidR="00F43089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0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3.</w:t>
      </w:r>
      <w:r w:rsidR="00F43089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>0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  <w:t xml:space="preserve">6.2023. </w:t>
      </w:r>
    </w:p>
    <w:p w:rsidR="00BD00C0" w:rsidRPr="00527592" w:rsidRDefault="00BD00C0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</w:p>
    <w:p w:rsidR="00BD00C0" w:rsidRPr="00527592" w:rsidRDefault="000774D4" w:rsidP="00527592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u w:color="FFFF00"/>
          <w:lang w:eastAsia="pl-PL"/>
        </w:rPr>
      </w:pP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>W praktyce realizacja podwyżek wynagrodzeń pracowników podmi</w:t>
      </w:r>
      <w:r w:rsid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otów leczniczych wynikających z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>ustawy jest zagadnieniem bardzo problematycznym, a jej interpretacja stwarza trudności nie</w:t>
      </w:r>
      <w:r w:rsidR="00CF655E">
        <w:rPr>
          <w:rFonts w:ascii="Arial" w:hAnsi="Arial" w:cs="Arial"/>
          <w:sz w:val="24"/>
          <w:szCs w:val="24"/>
          <w:u w:color="76923C" w:themeColor="accent3" w:themeShade="BF"/>
        </w:rPr>
        <w:t xml:space="preserve"> tylko podmiotom leczniczym.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Główną różnicą </w:t>
      </w:r>
      <w:r w:rsidR="00527592">
        <w:rPr>
          <w:rFonts w:ascii="Arial" w:hAnsi="Arial" w:cs="Arial"/>
          <w:sz w:val="24"/>
          <w:szCs w:val="24"/>
          <w:u w:color="76923C" w:themeColor="accent3" w:themeShade="BF"/>
        </w:rPr>
        <w:br/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w podejściu do zagadnienia jest: czy kwalifikacje wymagane  należy utożsamiać </w:t>
      </w:r>
      <w:r w:rsidR="00527592">
        <w:rPr>
          <w:rFonts w:ascii="Arial" w:hAnsi="Arial" w:cs="Arial"/>
          <w:sz w:val="24"/>
          <w:szCs w:val="24"/>
          <w:u w:color="76923C" w:themeColor="accent3" w:themeShade="BF"/>
        </w:rPr>
        <w:br/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>z posiadanymi, czy też te dwie kategorie zdecydowanie się różnią.</w:t>
      </w:r>
      <w:r w:rsidR="00F95E75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Tam, gdzie świadczeniodawca utożsamia te kategorie, kwalifikując pracowników według wykształcenia posiadanego, następuje zagrożenie utrzymania stabilności fin</w:t>
      </w:r>
      <w:r w:rsidR="00CF655E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ansowej podmiotów leczniczych.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Szpitale nie dysponują wystarczającymi środkami finansowymi na pokrycie kosztów podwyżek</w:t>
      </w:r>
      <w:r w:rsidR="00F95E75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. Pojawiają się także </w:t>
      </w:r>
      <w:r w:rsidR="0042604A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niebezpieczeństwa</w:t>
      </w:r>
      <w:r w:rsidR="00F95E75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związane z niejednolitym orzecznictwem sądów </w:t>
      </w:r>
      <w:r w:rsidR="00CA1FBF" w:rsidRPr="00527592">
        <w:rPr>
          <w:rFonts w:ascii="Arial" w:hAnsi="Arial" w:cs="Arial"/>
          <w:sz w:val="24"/>
          <w:szCs w:val="24"/>
          <w:u w:color="76923C" w:themeColor="accent3" w:themeShade="BF"/>
        </w:rPr>
        <w:t>oraz</w:t>
      </w:r>
      <w:r w:rsidR="00F95E75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ryzyko zarzutów organów kontroli (np. niegospodarność, nieprawidłowa gospodarka finansami publicznymi). </w:t>
      </w:r>
      <w:r w:rsidR="00527592">
        <w:rPr>
          <w:rFonts w:ascii="Arial" w:hAnsi="Arial" w:cs="Arial"/>
          <w:sz w:val="24"/>
          <w:szCs w:val="24"/>
          <w:u w:color="76923C" w:themeColor="accent3" w:themeShade="BF"/>
        </w:rPr>
        <w:br/>
      </w:r>
      <w:r w:rsidR="00F95E75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W praktyce stosowania ustawy pomiędzy podmiotami leczniczymi wystąpiły znaczące różnice w ustalaniu najniższych wynagrodzeń zasadniczych pielęgniarek </w:t>
      </w:r>
      <w:r w:rsid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br/>
      </w:r>
      <w:r w:rsidR="00F95E75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>i położnych, pomimo wykonywania pr</w:t>
      </w:r>
      <w:r w:rsidR="00BD00C0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zez nie takich samych czynności </w:t>
      </w:r>
      <w:r w:rsidR="00F95E75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>(między grupą zawodową  2, a 5 i 6).  Budzi to</w:t>
      </w:r>
      <w:r w:rsid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 niezadowolenie wśród personelu, </w:t>
      </w:r>
      <w:r w:rsidR="00F95E75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czego konsekwencją już są pozwy sądowe. </w:t>
      </w:r>
    </w:p>
    <w:p w:rsidR="0092325C" w:rsidRPr="00527592" w:rsidRDefault="0092325C" w:rsidP="00527592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u w:color="FFFF00"/>
          <w:lang w:eastAsia="pl-PL"/>
        </w:rPr>
      </w:pPr>
      <w:r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lastRenderedPageBreak/>
        <w:t>Wadliwości przepisów prawa powiązanych w ustawą utrudniają jej właściwe stosowanie (np. niespójność i niejednoznaczność rozporządzenia min</w:t>
      </w:r>
      <w:r w:rsidR="00BD00C0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>istra</w:t>
      </w:r>
      <w:r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 zd</w:t>
      </w:r>
      <w:r w:rsidR="00BD00C0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rowia </w:t>
      </w:r>
      <w:r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 </w:t>
      </w:r>
      <w:r w:rsid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br/>
      </w:r>
      <w:r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w sprawie kwalifikacji wymaganych od pracowników na poszczególnych rodzajach </w:t>
      </w:r>
      <w:r w:rsid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 xml:space="preserve">stanowisk pracy, </w:t>
      </w:r>
      <w:r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>czy brak rozróżnienia kompetencji zawodowych w zależności od poziomu wykształcenia w grupie pielęgniarek i położnych)</w:t>
      </w:r>
      <w:r w:rsidR="00BD00C0" w:rsidRPr="00527592">
        <w:rPr>
          <w:rFonts w:ascii="Arial" w:eastAsia="Times New Roman" w:hAnsi="Arial" w:cs="Arial"/>
          <w:sz w:val="24"/>
          <w:szCs w:val="24"/>
          <w:u w:color="FFFF00"/>
          <w:lang w:eastAsia="pl-PL"/>
        </w:rPr>
        <w:t>.</w:t>
      </w:r>
    </w:p>
    <w:p w:rsidR="009653A1" w:rsidRPr="00527592" w:rsidRDefault="009653A1" w:rsidP="00527592">
      <w:pPr>
        <w:spacing w:after="0" w:line="259" w:lineRule="auto"/>
        <w:jc w:val="both"/>
        <w:rPr>
          <w:rFonts w:ascii="Arial" w:hAnsi="Arial" w:cs="Arial"/>
          <w:sz w:val="24"/>
          <w:szCs w:val="24"/>
          <w:u w:color="76923C" w:themeColor="accent3" w:themeShade="BF"/>
        </w:rPr>
      </w:pP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>W</w:t>
      </w:r>
      <w:r w:rsidR="00BD00C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celu </w:t>
      </w:r>
      <w:r w:rsidR="00BD00C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>uniknięcia</w:t>
      </w:r>
      <w:r w:rsidR="00BD00C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różnic </w:t>
      </w:r>
      <w:r w:rsidR="00BD00C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 </w:t>
      </w:r>
      <w:r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interpretacyjnych </w:t>
      </w:r>
      <w:r w:rsidR="00BD00C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>wskazane</w:t>
      </w:r>
      <w:r w:rsidR="00BD00C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</w:t>
      </w:r>
      <w:r w:rsidR="00BD00C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jest </w:t>
      </w:r>
      <w:r w:rsidR="00BD00C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wprowadzenie </w:t>
      </w:r>
      <w:r w:rsidR="00BD00C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 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>porządkujących</w:t>
      </w:r>
      <w:r w:rsid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 </w:t>
      </w:r>
      <w:r w:rsidR="00222B4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i doprecyzowujących </w:t>
      </w:r>
      <w:r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zmian </w:t>
      </w:r>
      <w:r w:rsidR="00222B40" w:rsidRPr="00527592">
        <w:rPr>
          <w:rFonts w:ascii="Arial" w:hAnsi="Arial" w:cs="Arial"/>
          <w:b/>
          <w:sz w:val="24"/>
          <w:szCs w:val="24"/>
          <w:u w:color="76923C" w:themeColor="accent3" w:themeShade="BF"/>
        </w:rPr>
        <w:t xml:space="preserve">w przepisach prawa, </w:t>
      </w:r>
      <w:r w:rsid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które mają wpływ na wykładnię </w:t>
      </w:r>
      <w:r w:rsidR="00222B40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załącznika do ustawy. </w:t>
      </w:r>
    </w:p>
    <w:p w:rsidR="00BD00C0" w:rsidRPr="00527592" w:rsidRDefault="00BD00C0" w:rsidP="00527592">
      <w:pPr>
        <w:spacing w:after="0" w:line="259" w:lineRule="auto"/>
        <w:jc w:val="both"/>
        <w:rPr>
          <w:rFonts w:ascii="Arial" w:hAnsi="Arial" w:cs="Arial"/>
          <w:sz w:val="24"/>
          <w:szCs w:val="24"/>
          <w:u w:color="76923C" w:themeColor="accent3" w:themeShade="BF"/>
        </w:rPr>
      </w:pPr>
    </w:p>
    <w:p w:rsidR="00980A48" w:rsidRPr="00527592" w:rsidRDefault="00980A48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Ograniczenie współczynników pracy tylko do pracowników działalności podstawowej wywołuje poczucie niesprawiedliwego traktowania pozostałych (pracownicy administracji, obsługi technicznej i gospodarczej). </w:t>
      </w:r>
    </w:p>
    <w:p w:rsidR="00980A48" w:rsidRPr="00527592" w:rsidRDefault="00980A48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Wynagrodzenia pracowników administracji i obsługi przy porównywalnym poziomie kwalifikacji wymaganych, jak </w:t>
      </w:r>
      <w:r w:rsidR="00CA1FBF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u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pracowni</w:t>
      </w:r>
      <w:r w:rsidR="00CA1FBF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ków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 </w:t>
      </w:r>
      <w:r w:rsidR="00D43FCA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działalności podstawowej często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są znacznie niższe. </w:t>
      </w:r>
    </w:p>
    <w:p w:rsidR="00980A48" w:rsidRPr="00527592" w:rsidRDefault="00980A48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Zastosowanie w art. 5. ogólnych wskazań do ustalania wzrostu wynagrodzeń </w:t>
      </w:r>
      <w:r w:rsidR="00A93916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(rodzaj wykonywanej pracy, ilość i jakość świadczonej pracy),</w:t>
      </w:r>
      <w:r w:rsidR="00BD00C0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 </w:t>
      </w:r>
      <w:r w:rsidR="00A93916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nie stanowi zabezpieczenia przed nieuzasadnionymi różnicami w wynagrodzeniach w stosunk</w:t>
      </w:r>
      <w:r w:rsid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u do innych grup zawodowych. </w:t>
      </w:r>
      <w:r w:rsidR="00A93916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Użyte określenie „adekwatność  wynagrodzenia” jest  terminem enigmatycznym, nieprecyzyjnym, rodzącym różnice interpretacyjne. </w:t>
      </w:r>
    </w:p>
    <w:p w:rsidR="00A93916" w:rsidRPr="00527592" w:rsidRDefault="00A93916" w:rsidP="00527592">
      <w:pPr>
        <w:spacing w:after="0" w:line="259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color="FF0000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Najlepszym rozwiązaniem byłoby </w:t>
      </w: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FF0000"/>
          <w:lang w:eastAsia="pl-PL"/>
        </w:rPr>
        <w:t xml:space="preserve">rozszerzenie załącznika do ustawy o  grupy zawodowe dotąd w nim nieujęte. </w:t>
      </w:r>
    </w:p>
    <w:p w:rsidR="00890BA8" w:rsidRPr="00527592" w:rsidRDefault="00980A48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</w:pPr>
      <w:r w:rsidRPr="00527592">
        <w:rPr>
          <w:rFonts w:ascii="Arial" w:hAnsi="Arial" w:cs="Arial"/>
          <w:b/>
          <w:sz w:val="24"/>
          <w:szCs w:val="24"/>
          <w:u w:color="FF0000"/>
        </w:rPr>
        <w:t>Ustawa powinna dotyczyć wg ujednoliconych zasad wszystkich grup pracowniczych,</w:t>
      </w:r>
      <w:r w:rsidRPr="00527592">
        <w:rPr>
          <w:rFonts w:ascii="Arial" w:hAnsi="Arial" w:cs="Arial"/>
          <w:sz w:val="24"/>
          <w:szCs w:val="24"/>
          <w:u w:color="FF0000"/>
        </w:rPr>
        <w:t xml:space="preserve"> bo wszyscy są niezbędni do wy</w:t>
      </w:r>
      <w:r w:rsidR="00CA1FBF" w:rsidRPr="00527592">
        <w:rPr>
          <w:rFonts w:ascii="Arial" w:hAnsi="Arial" w:cs="Arial"/>
          <w:sz w:val="24"/>
          <w:szCs w:val="24"/>
          <w:u w:color="FF0000"/>
        </w:rPr>
        <w:t>konywania świadczeń zdrowotnych</w:t>
      </w:r>
      <w:r w:rsidRPr="00527592">
        <w:rPr>
          <w:rFonts w:ascii="Arial" w:hAnsi="Arial" w:cs="Arial"/>
          <w:sz w:val="24"/>
          <w:szCs w:val="24"/>
          <w:u w:color="FF0000"/>
        </w:rPr>
        <w:t>, a współpraca między nimi determinuje efektywność działania podmiotu leczniczego.</w:t>
      </w:r>
      <w:r w:rsidR="00BB7525" w:rsidRPr="00527592">
        <w:rPr>
          <w:rFonts w:ascii="Arial" w:hAnsi="Arial" w:cs="Arial"/>
          <w:sz w:val="24"/>
          <w:szCs w:val="24"/>
          <w:u w:color="76923C" w:themeColor="accent3" w:themeShade="BF"/>
        </w:rPr>
        <w:t xml:space="preserve"> </w:t>
      </w:r>
      <w:r w:rsidR="00890BA8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Podział pracowników na kategorie (wykonujący zawody medyczne i niewykonujący, pracownicy działalności podstawowej i pozostali) jest elementem umacniającym antagonizmy i odbieranym przez pracowników jako podział na lepszych i gorszych</w:t>
      </w:r>
      <w:r w:rsidR="00BB7525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. </w:t>
      </w:r>
    </w:p>
    <w:p w:rsidR="005F1F64" w:rsidRPr="00527592" w:rsidRDefault="005F1F64" w:rsidP="00527592">
      <w:pPr>
        <w:spacing w:after="0" w:line="259" w:lineRule="auto"/>
        <w:jc w:val="both"/>
        <w:rPr>
          <w:rFonts w:ascii="Arial" w:hAnsi="Arial" w:cs="Arial"/>
          <w:sz w:val="24"/>
          <w:szCs w:val="24"/>
          <w:u w:color="76923C" w:themeColor="accent3" w:themeShade="BF"/>
        </w:rPr>
      </w:pPr>
    </w:p>
    <w:p w:rsidR="009653A1" w:rsidRPr="00527592" w:rsidRDefault="00147DA0" w:rsidP="00527592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W toku wdrażania ustawy dochodzi do powstawania licznych </w:t>
      </w:r>
      <w:r w:rsidR="00890BA8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 konflikt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ów </w:t>
      </w:r>
      <w:r w:rsidR="00890BA8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 na linii pracownik 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>–</w:t>
      </w:r>
      <w:r w:rsidR="00890BA8"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 pracodawca</w:t>
      </w:r>
      <w:r w:rsidRPr="00527592">
        <w:rPr>
          <w:rFonts w:ascii="Arial" w:eastAsia="Times New Roman" w:hAnsi="Arial" w:cs="Arial"/>
          <w:color w:val="000000"/>
          <w:sz w:val="24"/>
          <w:szCs w:val="24"/>
          <w:u w:color="FF0000"/>
          <w:lang w:eastAsia="pl-PL"/>
        </w:rPr>
        <w:t xml:space="preserve">. </w:t>
      </w:r>
    </w:p>
    <w:p w:rsidR="00BB7525" w:rsidRPr="00527592" w:rsidRDefault="00890BA8" w:rsidP="00527592">
      <w:pPr>
        <w:spacing w:after="0" w:line="259" w:lineRule="auto"/>
        <w:jc w:val="both"/>
        <w:rPr>
          <w:rFonts w:ascii="Arial" w:hAnsi="Arial" w:cs="Arial"/>
          <w:sz w:val="24"/>
          <w:szCs w:val="24"/>
          <w:u w:color="D99594" w:themeColor="accent2" w:themeTint="99"/>
        </w:rPr>
      </w:pP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>Procedura określna w art. 3a.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</w:t>
      </w: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1 ustawy nie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mobilizuje stron do wysiłku w 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celu wypracowania kompromisu .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Prowadzi </w:t>
      </w:r>
      <w:r w:rsidR="004D066C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do </w:t>
      </w:r>
      <w:r w:rsidR="004D066C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>częstych</w:t>
      </w:r>
      <w:r w:rsidR="004D066C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 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przypadków  </w:t>
      </w:r>
      <w:r w:rsidR="004D066C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>omijania</w:t>
      </w: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</w:t>
      </w:r>
      <w:r w:rsidR="004D066C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</w:t>
      </w: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>dialogu ze związkami zawodowymi i wydawani</w:t>
      </w:r>
      <w:r w:rsidR="00297BD3">
        <w:rPr>
          <w:rFonts w:ascii="Arial" w:hAnsi="Arial" w:cs="Arial"/>
          <w:sz w:val="24"/>
          <w:szCs w:val="24"/>
          <w:u w:color="D99594" w:themeColor="accent2" w:themeTint="99"/>
        </w:rPr>
        <w:t xml:space="preserve">a jednostronnych </w:t>
      </w: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>zarządzeń przez pracodawców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. 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Z drugiej strony </w:t>
      </w:r>
      <w:r w:rsidR="00147DA0"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b</w:t>
      </w:r>
      <w:r w:rsidR="00BB7525"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rak</w:t>
      </w:r>
      <w:r w:rsidR="00CF655E">
        <w:rPr>
          <w:rFonts w:ascii="Arial" w:hAnsi="Arial" w:cs="Arial"/>
          <w:b/>
          <w:sz w:val="24"/>
          <w:szCs w:val="24"/>
          <w:u w:color="D99594" w:themeColor="accent2" w:themeTint="99"/>
        </w:rPr>
        <w:t xml:space="preserve"> jest </w:t>
      </w:r>
      <w:r w:rsidR="00BB7525"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gwarancji, że pracodawcy pozyskają informacje o wzroście środków z NFZ</w:t>
      </w:r>
      <w:r w:rsidR="00BB7525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od 1 lipca każdego kolejnego roku, 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br/>
      </w:r>
      <w:r w:rsidR="00BB7525"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w odpowiednim terminie</w:t>
      </w:r>
      <w:r w:rsidR="00BB7525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, by przeprowadzić i zakończyć uzgodnienia ze związkami zawodowymi w 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czasie </w:t>
      </w:r>
      <w:r w:rsidR="00BB7525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do 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31 maja każdego kolejnego roku. </w:t>
      </w:r>
      <w:r w:rsidR="005F1F64" w:rsidRPr="00527592">
        <w:rPr>
          <w:rFonts w:ascii="Arial" w:hAnsi="Arial" w:cs="Arial"/>
          <w:sz w:val="24"/>
          <w:szCs w:val="24"/>
          <w:u w:color="D99594" w:themeColor="accent2" w:themeTint="99"/>
        </w:rPr>
        <w:t>Taki obowiązek prawny jest potrzebny, by w sposób odpowiedzialny i ko</w:t>
      </w:r>
      <w:r w:rsidR="00AF1BD2">
        <w:rPr>
          <w:rFonts w:ascii="Arial" w:hAnsi="Arial" w:cs="Arial"/>
          <w:sz w:val="24"/>
          <w:szCs w:val="24"/>
          <w:u w:color="D99594" w:themeColor="accent2" w:themeTint="99"/>
        </w:rPr>
        <w:t xml:space="preserve">nkretny </w:t>
      </w:r>
      <w:bookmarkStart w:id="0" w:name="_GoBack"/>
      <w:bookmarkEnd w:id="0"/>
      <w:r w:rsidR="005F1F64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strony dialogu wywiązywały się z obowiązku ustawowego w tym zakresie. </w:t>
      </w:r>
    </w:p>
    <w:p w:rsidR="00BB7525" w:rsidRPr="00527592" w:rsidRDefault="00BB7525" w:rsidP="00527592">
      <w:pPr>
        <w:spacing w:after="0" w:line="259" w:lineRule="auto"/>
        <w:jc w:val="both"/>
        <w:rPr>
          <w:rFonts w:ascii="Arial" w:hAnsi="Arial" w:cs="Arial"/>
          <w:sz w:val="24"/>
          <w:szCs w:val="24"/>
          <w:u w:color="D99594" w:themeColor="accent2" w:themeTint="99"/>
        </w:rPr>
      </w:pPr>
      <w:r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Zapisy dotyczące negocjacji</w:t>
      </w:r>
      <w:r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 między pracodawcami, a związkami zawodowymi </w:t>
      </w:r>
      <w:r w:rsidR="00527592">
        <w:rPr>
          <w:rFonts w:ascii="Arial" w:hAnsi="Arial" w:cs="Arial"/>
          <w:sz w:val="24"/>
          <w:szCs w:val="24"/>
          <w:u w:color="D99594" w:themeColor="accent2" w:themeTint="99"/>
        </w:rPr>
        <w:br/>
      </w:r>
      <w:r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z art. 3a.</w:t>
      </w:r>
      <w:r w:rsidR="00CF655E">
        <w:rPr>
          <w:rFonts w:ascii="Arial" w:hAnsi="Arial" w:cs="Arial"/>
          <w:b/>
          <w:sz w:val="24"/>
          <w:szCs w:val="24"/>
          <w:u w:color="D99594" w:themeColor="accent2" w:themeTint="99"/>
        </w:rPr>
        <w:t xml:space="preserve"> </w:t>
      </w:r>
      <w:r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>1 należy wzmocnić</w:t>
      </w:r>
      <w:r w:rsidR="004D066C"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 xml:space="preserve"> i doprecyzować </w:t>
      </w:r>
      <w:r w:rsidRPr="00527592">
        <w:rPr>
          <w:rFonts w:ascii="Arial" w:hAnsi="Arial" w:cs="Arial"/>
          <w:b/>
          <w:sz w:val="24"/>
          <w:szCs w:val="24"/>
          <w:u w:color="D99594" w:themeColor="accent2" w:themeTint="99"/>
        </w:rPr>
        <w:t xml:space="preserve"> tak, by dialog społeczny był realny</w:t>
      </w:r>
      <w:r w:rsidR="00147DA0" w:rsidRPr="00527592">
        <w:rPr>
          <w:rFonts w:ascii="Arial" w:hAnsi="Arial" w:cs="Arial"/>
          <w:sz w:val="24"/>
          <w:szCs w:val="24"/>
          <w:u w:color="D99594" w:themeColor="accent2" w:themeTint="99"/>
        </w:rPr>
        <w:t xml:space="preserve">. </w:t>
      </w:r>
    </w:p>
    <w:p w:rsidR="00527592" w:rsidRDefault="00527592" w:rsidP="00527592">
      <w:pPr>
        <w:spacing w:after="0" w:line="259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</w:pPr>
    </w:p>
    <w:p w:rsidR="002140A4" w:rsidRPr="00527592" w:rsidRDefault="00BB7525" w:rsidP="00F43089">
      <w:pPr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548DD4" w:themeColor="text2" w:themeTint="99"/>
          <w:lang w:eastAsia="pl-PL"/>
        </w:rPr>
      </w:pP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Dialog z </w:t>
      </w:r>
      <w:r w:rsidR="00147DA0"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wzajemnym </w:t>
      </w: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>poszanow</w:t>
      </w:r>
      <w:r w:rsidR="00F43089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>aniem interesów i odrębności po</w:t>
      </w:r>
      <w:r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glądów jest narzędziem, które </w:t>
      </w:r>
      <w:r w:rsidR="00297BD3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może skutecznie minimalizować </w:t>
      </w:r>
      <w:r w:rsidR="00147DA0" w:rsidRPr="00527592">
        <w:rPr>
          <w:rFonts w:ascii="Arial" w:eastAsia="Times New Roman" w:hAnsi="Arial" w:cs="Arial"/>
          <w:b/>
          <w:color w:val="000000"/>
          <w:sz w:val="24"/>
          <w:szCs w:val="24"/>
          <w:u w:color="548DD4" w:themeColor="text2" w:themeTint="99"/>
          <w:lang w:eastAsia="pl-PL"/>
        </w:rPr>
        <w:t xml:space="preserve">antagonizmy rozwijające się na tle płacowym. </w:t>
      </w:r>
    </w:p>
    <w:p w:rsidR="002140A4" w:rsidRPr="00527592" w:rsidRDefault="002140A4" w:rsidP="005F1F6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140A4" w:rsidRPr="00527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AF" w:rsidRDefault="00F22BAF" w:rsidP="00CD38CE">
      <w:pPr>
        <w:spacing w:after="0" w:line="240" w:lineRule="auto"/>
      </w:pPr>
      <w:r>
        <w:separator/>
      </w:r>
    </w:p>
  </w:endnote>
  <w:endnote w:type="continuationSeparator" w:id="0">
    <w:p w:rsidR="00F22BAF" w:rsidRDefault="00F22BAF" w:rsidP="00CD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AF" w:rsidRDefault="00F22BAF" w:rsidP="00CD38CE">
      <w:pPr>
        <w:spacing w:after="0" w:line="240" w:lineRule="auto"/>
      </w:pPr>
      <w:r>
        <w:separator/>
      </w:r>
    </w:p>
  </w:footnote>
  <w:footnote w:type="continuationSeparator" w:id="0">
    <w:p w:rsidR="00F22BAF" w:rsidRDefault="00F22BAF" w:rsidP="00CD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CE" w:rsidRPr="00CD38CE" w:rsidRDefault="00CD38CE" w:rsidP="00CD38CE">
    <w:pPr>
      <w:pStyle w:val="Nagwek"/>
    </w:pPr>
    <w:r>
      <w:t>SG-V.112.18.2023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A4"/>
    <w:rsid w:val="00012680"/>
    <w:rsid w:val="000774D4"/>
    <w:rsid w:val="00147DA0"/>
    <w:rsid w:val="002140A4"/>
    <w:rsid w:val="00222B40"/>
    <w:rsid w:val="002555A7"/>
    <w:rsid w:val="00297BD3"/>
    <w:rsid w:val="002A6CD6"/>
    <w:rsid w:val="003952E5"/>
    <w:rsid w:val="0042604A"/>
    <w:rsid w:val="004D066C"/>
    <w:rsid w:val="005261B3"/>
    <w:rsid w:val="00527592"/>
    <w:rsid w:val="005F1F64"/>
    <w:rsid w:val="00685DCA"/>
    <w:rsid w:val="00722F40"/>
    <w:rsid w:val="007C5C74"/>
    <w:rsid w:val="00890BA8"/>
    <w:rsid w:val="0092325C"/>
    <w:rsid w:val="009653A1"/>
    <w:rsid w:val="00980A48"/>
    <w:rsid w:val="00A93916"/>
    <w:rsid w:val="00AF1BD2"/>
    <w:rsid w:val="00BA28AD"/>
    <w:rsid w:val="00BB7525"/>
    <w:rsid w:val="00BD00C0"/>
    <w:rsid w:val="00CA1FBF"/>
    <w:rsid w:val="00CD38CE"/>
    <w:rsid w:val="00CF655E"/>
    <w:rsid w:val="00D43FCA"/>
    <w:rsid w:val="00E55FAD"/>
    <w:rsid w:val="00F22BAF"/>
    <w:rsid w:val="00F43089"/>
    <w:rsid w:val="00F72CD3"/>
    <w:rsid w:val="00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C81D"/>
  <w15:docId w15:val="{D00E2DDA-7DB4-41B4-9016-321978FA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8CE"/>
  </w:style>
  <w:style w:type="paragraph" w:styleId="Stopka">
    <w:name w:val="footer"/>
    <w:basedOn w:val="Normalny"/>
    <w:link w:val="StopkaZnak"/>
    <w:uiPriority w:val="99"/>
    <w:unhideWhenUsed/>
    <w:rsid w:val="00CD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Muszyńska, Magdalena</cp:lastModifiedBy>
  <cp:revision>12</cp:revision>
  <cp:lastPrinted>2023-04-21T08:18:00Z</cp:lastPrinted>
  <dcterms:created xsi:type="dcterms:W3CDTF">2023-04-21T09:05:00Z</dcterms:created>
  <dcterms:modified xsi:type="dcterms:W3CDTF">2023-06-14T08:15:00Z</dcterms:modified>
</cp:coreProperties>
</file>