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</w:t>
      </w:r>
      <w:r w:rsidR="005956C3">
        <w:rPr>
          <w:rFonts w:ascii="Arial" w:eastAsia="Arial Unicode MS" w:hAnsi="Arial" w:cs="Arial"/>
          <w:iCs/>
          <w:sz w:val="20"/>
          <w:szCs w:val="20"/>
          <w:lang w:eastAsia="pl-PL"/>
        </w:rPr>
        <w:t>łącznik nr 1 do uchwały Nr 1570/19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5956C3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>27 sierpnia 2019r.</w:t>
      </w:r>
    </w:p>
    <w:p w:rsidR="00315504" w:rsidRPr="00315504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315504">
        <w:rPr>
          <w:rFonts w:ascii="Arial" w:eastAsia="Arial Unicode MS" w:hAnsi="Arial" w:cs="Arial"/>
          <w:b/>
          <w:sz w:val="20"/>
          <w:szCs w:val="20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80"/>
        <w:gridCol w:w="1134"/>
        <w:gridCol w:w="1134"/>
        <w:gridCol w:w="1276"/>
        <w:gridCol w:w="4252"/>
        <w:gridCol w:w="2835"/>
        <w:gridCol w:w="2127"/>
      </w:tblGrid>
      <w:tr w:rsidR="00770AB1" w:rsidRPr="00315504" w:rsidTr="00770AB1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148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Pow. działki (ha)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Przeznaczenie i sposób zagospodarowania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Cena wywoławcza </w:t>
            </w: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br/>
              <w:t>w zł</w:t>
            </w:r>
          </w:p>
        </w:tc>
      </w:tr>
      <w:tr w:rsidR="00770AB1" w:rsidRPr="00315504" w:rsidTr="00770AB1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obrębu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770AB1" w:rsidRPr="00315504" w:rsidTr="00770AB1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</w:t>
            </w: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2092/2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 Brzesko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A35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TR1B/00052663/3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</w:t>
            </w:r>
            <w:r w:rsidRPr="003A35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0,0263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770AB1" w:rsidRPr="00770AB1" w:rsidRDefault="00770AB1" w:rsidP="00E1323C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2274">
              <w:rPr>
                <w:rFonts w:ascii="Arial" w:hAnsi="Arial" w:cs="Arial"/>
                <w:sz w:val="20"/>
                <w:szCs w:val="20"/>
              </w:rPr>
              <w:t xml:space="preserve">Nieruchomość położona w Brzesku przy ul. Osiedlowej. Nieruchomość jest ogrodzona z trzech stron i zabudowana drewnianym, jednokondygnacyjnym budynkiem gospodarczym </w:t>
            </w:r>
            <w:r w:rsidR="00412274" w:rsidRPr="00412274">
              <w:rPr>
                <w:rFonts w:ascii="Arial" w:hAnsi="Arial" w:cs="Arial"/>
                <w:sz w:val="20"/>
                <w:szCs w:val="20"/>
              </w:rPr>
              <w:t xml:space="preserve"> o powierzchni użytkowej ok. 87,35 m</w:t>
            </w:r>
            <w:r w:rsidR="00412274" w:rsidRPr="0041227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41227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770AB1">
              <w:rPr>
                <w:rFonts w:ascii="Arial" w:hAnsi="Arial" w:cs="Arial"/>
                <w:sz w:val="20"/>
                <w:szCs w:val="20"/>
              </w:rPr>
              <w:t xml:space="preserve">bez podpiwniczenia, w którym znajdują się 4 pomieszczenia garażowe. Budynek jest w przeciętnym stanie technicznym, wymaga remontu. </w:t>
            </w:r>
            <w:r w:rsidR="00412274">
              <w:rPr>
                <w:rFonts w:ascii="Arial" w:hAnsi="Arial" w:cs="Arial"/>
                <w:sz w:val="20"/>
                <w:szCs w:val="20"/>
              </w:rPr>
              <w:t xml:space="preserve">Budynek ocieplony, ściany wewnątrz </w:t>
            </w:r>
            <w:proofErr w:type="spellStart"/>
            <w:r w:rsidR="00412274">
              <w:rPr>
                <w:rFonts w:ascii="Arial" w:hAnsi="Arial" w:cs="Arial"/>
                <w:sz w:val="20"/>
                <w:szCs w:val="20"/>
              </w:rPr>
              <w:t>obiałkowane</w:t>
            </w:r>
            <w:proofErr w:type="spellEnd"/>
            <w:r w:rsidR="00412274">
              <w:rPr>
                <w:rFonts w:ascii="Arial" w:hAnsi="Arial" w:cs="Arial"/>
                <w:sz w:val="20"/>
                <w:szCs w:val="20"/>
              </w:rPr>
              <w:t xml:space="preserve">, na podłodze wylewka, dach kryty blachą. </w:t>
            </w:r>
            <w:r w:rsidRPr="00770AB1">
              <w:rPr>
                <w:rFonts w:ascii="Arial" w:hAnsi="Arial" w:cs="Arial"/>
                <w:sz w:val="20"/>
                <w:szCs w:val="20"/>
              </w:rPr>
              <w:t xml:space="preserve">Teren przed budynkiem jest wyłożony płytami betonowymi. Na działce znajduje się również słup niskiego napięcia oraz wiata. </w:t>
            </w:r>
            <w:r w:rsidR="00412274">
              <w:rPr>
                <w:rFonts w:ascii="Arial" w:hAnsi="Arial" w:cs="Arial"/>
                <w:sz w:val="20"/>
                <w:szCs w:val="20"/>
              </w:rPr>
              <w:t xml:space="preserve">Nieruchomość posiada dostęp do wody i prądu. Na działce znajduje się kanalizacja. Brak gazu. </w:t>
            </w:r>
          </w:p>
          <w:p w:rsidR="00770AB1" w:rsidRPr="00315504" w:rsidRDefault="00770AB1" w:rsidP="00E1323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FF0000"/>
                <w:kern w:val="1"/>
                <w:sz w:val="19"/>
                <w:szCs w:val="19"/>
                <w:lang w:eastAsia="pl-PL"/>
              </w:rPr>
            </w:pPr>
            <w:r w:rsidRPr="00770AB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70AB1" w:rsidRPr="00770AB1" w:rsidRDefault="00770AB1" w:rsidP="00E132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AB1">
              <w:rPr>
                <w:rFonts w:ascii="Arial" w:hAnsi="Arial" w:cs="Arial"/>
                <w:sz w:val="20"/>
                <w:szCs w:val="20"/>
              </w:rPr>
              <w:t xml:space="preserve">Zgodnie z zapisami Studium Uwarunkowań i Kierunków Zagospodarowania Przestrzennego Gminy Brzesko, </w:t>
            </w:r>
            <w:r w:rsidRPr="00770AB1">
              <w:rPr>
                <w:rFonts w:ascii="Arial" w:hAnsi="Arial" w:cs="Arial"/>
                <w:bCs/>
                <w:sz w:val="20"/>
                <w:szCs w:val="20"/>
              </w:rPr>
              <w:t xml:space="preserve">nieruchomość </w:t>
            </w:r>
            <w:r w:rsidRPr="00770AB1">
              <w:rPr>
                <w:rFonts w:ascii="Arial" w:hAnsi="Arial" w:cs="Arial"/>
                <w:sz w:val="20"/>
                <w:szCs w:val="20"/>
              </w:rPr>
              <w:t>znajduje się w terenach oznaczonych jako strefa wielkoprzestrzenna centralna urbanizacji typu miejskiego i podmiejskiego.</w:t>
            </w: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C328BB" w:rsidP="00E1323C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 xml:space="preserve">70 000 </w:t>
            </w:r>
            <w:r w:rsidR="00770AB1" w:rsidRPr="00315504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 xml:space="preserve">zł </w:t>
            </w:r>
          </w:p>
          <w:p w:rsidR="00770AB1" w:rsidRPr="00315504" w:rsidRDefault="00770AB1" w:rsidP="00E1323C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zwolnienie z VAT na podstawie art. 43 ust.1 pkt 10 ustawy z 11 marca 2004 r. o podatku od towarów i usług)</w:t>
            </w:r>
          </w:p>
        </w:tc>
      </w:tr>
    </w:tbl>
    <w:p w:rsidR="009E6BAF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315504">
        <w:rPr>
          <w:rFonts w:ascii="Arial" w:eastAsia="Times New Roman" w:hAnsi="Arial" w:cs="Times New Roman"/>
          <w:sz w:val="20"/>
          <w:szCs w:val="20"/>
          <w:lang w:val="x-none"/>
        </w:rPr>
        <w:t xml:space="preserve"> (tekst jedn.: </w:t>
      </w:r>
      <w:r w:rsidRPr="00315504">
        <w:rPr>
          <w:rFonts w:ascii="Arial" w:eastAsia="Times New Roman" w:hAnsi="Arial" w:cs="Times New Roman"/>
          <w:sz w:val="20"/>
          <w:szCs w:val="20"/>
        </w:rPr>
        <w:t>Dz.U.</w:t>
      </w:r>
      <w:r w:rsidR="00770AB1">
        <w:rPr>
          <w:rFonts w:ascii="Arial" w:eastAsia="Times New Roman" w:hAnsi="Arial" w:cs="Times New Roman"/>
          <w:bCs/>
          <w:sz w:val="20"/>
          <w:szCs w:val="20"/>
        </w:rPr>
        <w:t xml:space="preserve"> 2018.2204</w:t>
      </w:r>
      <w:r w:rsidRPr="00315504">
        <w:rPr>
          <w:rFonts w:ascii="Arial" w:eastAsia="Times New Roman" w:hAnsi="Arial" w:cs="Times New Roman"/>
          <w:sz w:val="20"/>
          <w:szCs w:val="20"/>
        </w:rPr>
        <w:t xml:space="preserve"> ze zm.</w:t>
      </w:r>
      <w:r w:rsidRPr="00315504">
        <w:rPr>
          <w:rFonts w:ascii="Arial" w:eastAsia="Times New Roman" w:hAnsi="Arial" w:cs="Times New Roman"/>
          <w:sz w:val="20"/>
          <w:szCs w:val="20"/>
          <w:lang w:val="x-none"/>
        </w:rPr>
        <w:t>)</w:t>
      </w:r>
      <w:r w:rsidRPr="00315504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9E6BAF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  <w:r w:rsidRPr="00315504">
        <w:rPr>
          <w:rFonts w:ascii="Arial" w:eastAsia="Times New Roman" w:hAnsi="Arial" w:cs="Times New Roman"/>
          <w:b/>
          <w:bCs/>
          <w:sz w:val="20"/>
          <w:szCs w:val="20"/>
          <w:lang w:val="x-none"/>
        </w:rPr>
        <w:t>podaje do publicznej wiadomości</w:t>
      </w:r>
      <w:r w:rsidRPr="00315504">
        <w:rPr>
          <w:rFonts w:ascii="Arial" w:eastAsia="Times New Roman" w:hAnsi="Arial" w:cs="Times New Roman"/>
          <w:b/>
          <w:bCs/>
          <w:sz w:val="20"/>
          <w:szCs w:val="20"/>
        </w:rPr>
        <w:t xml:space="preserve"> </w:t>
      </w:r>
    </w:p>
    <w:p w:rsidR="00315504" w:rsidRPr="005956C3" w:rsidRDefault="00315504" w:rsidP="00E1323C">
      <w:pPr>
        <w:spacing w:after="0" w:line="240" w:lineRule="auto"/>
        <w:jc w:val="center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>wykaz nieruchomości przeznaczonych do zbycia</w:t>
      </w:r>
      <w:r w:rsidR="009E6BAF"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w drodze przetargu</w:t>
      </w:r>
      <w:r w:rsidR="00770AB1"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E1323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770AB1"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</w:t>
      </w:r>
      <w:bookmarkStart w:id="0" w:name="_GoBack"/>
      <w:bookmarkEnd w:id="0"/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dnia</w:t>
      </w:r>
      <w:r w:rsidR="006112A2">
        <w:rPr>
          <w:rFonts w:ascii="Arial" w:eastAsia="Arial Unicode MS" w:hAnsi="Arial" w:cs="Times New Roman"/>
          <w:sz w:val="16"/>
          <w:szCs w:val="16"/>
          <w:lang w:eastAsia="pl-PL"/>
        </w:rPr>
        <w:t xml:space="preserve"> 11 września 2019 r.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do dnia</w:t>
      </w:r>
      <w:r w:rsidR="006112A2">
        <w:rPr>
          <w:rFonts w:ascii="Arial" w:eastAsia="Arial Unicode MS" w:hAnsi="Arial" w:cs="Times New Roman"/>
          <w:sz w:val="16"/>
          <w:szCs w:val="16"/>
          <w:lang w:eastAsia="pl-PL"/>
        </w:rPr>
        <w:t xml:space="preserve"> 2 października 2019 r.</w:t>
      </w:r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p w:rsidR="002B6F02" w:rsidRDefault="002B6F02"/>
    <w:sectPr w:rsidR="002B6F02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122027"/>
    <w:rsid w:val="001C4138"/>
    <w:rsid w:val="001D4B0B"/>
    <w:rsid w:val="00273973"/>
    <w:rsid w:val="002B6F02"/>
    <w:rsid w:val="00315504"/>
    <w:rsid w:val="00412274"/>
    <w:rsid w:val="005956C3"/>
    <w:rsid w:val="006112A2"/>
    <w:rsid w:val="00770AB1"/>
    <w:rsid w:val="00836BB8"/>
    <w:rsid w:val="00877658"/>
    <w:rsid w:val="00950B55"/>
    <w:rsid w:val="00961E86"/>
    <w:rsid w:val="009C1EFF"/>
    <w:rsid w:val="009E6BAF"/>
    <w:rsid w:val="00A25C9A"/>
    <w:rsid w:val="00C26F1D"/>
    <w:rsid w:val="00C328BB"/>
    <w:rsid w:val="00D10625"/>
    <w:rsid w:val="00DB3EA3"/>
    <w:rsid w:val="00E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3</cp:revision>
  <cp:lastPrinted>2018-04-24T12:18:00Z</cp:lastPrinted>
  <dcterms:created xsi:type="dcterms:W3CDTF">2019-09-11T09:40:00Z</dcterms:created>
  <dcterms:modified xsi:type="dcterms:W3CDTF">2019-09-11T09:48:00Z</dcterms:modified>
</cp:coreProperties>
</file>