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A71264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A71264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F53AA2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</w:t>
      </w:r>
      <w:r w:rsidR="004344AD" w:rsidRPr="00A71264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/2023</w:t>
      </w:r>
    </w:p>
    <w:p w:rsidR="00EB493E" w:rsidRPr="00A71264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A71264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A71264" w:rsidRDefault="00A6609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24 </w:t>
      </w:r>
      <w:r w:rsidR="00296C38" w:rsidRPr="00A71264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lutego </w:t>
      </w:r>
      <w:r w:rsidR="004344AD" w:rsidRPr="00A71264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2023</w:t>
      </w:r>
      <w:r w:rsidR="006976C5" w:rsidRPr="00A71264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296C38" w:rsidRPr="00A71264" w:rsidRDefault="00296C38" w:rsidP="00296C3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A71264">
        <w:rPr>
          <w:rFonts w:ascii="Arial" w:hAnsi="Arial" w:cs="Arial"/>
          <w:b/>
          <w:sz w:val="24"/>
          <w:szCs w:val="24"/>
          <w:lang w:val="pl-PL"/>
        </w:rPr>
        <w:t xml:space="preserve">w sprawie wyrażenia opinii nt. </w:t>
      </w:r>
      <w:r w:rsidR="00352F73" w:rsidRPr="00A7126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l-PL"/>
        </w:rPr>
        <w:t>projektu karty dla Działania „Budowanie potencjału partnerów i organizacji społeczeństwa obywatelskiego w obszarach wsparcia EFS+”, która będzie częścią Szczegółowego Opisu Priorytetów programu Fundusze Europejskie dla Małopolski 2021-2027</w:t>
      </w:r>
    </w:p>
    <w:p w:rsidR="00EB493E" w:rsidRPr="00A71264" w:rsidRDefault="006976C5" w:rsidP="00F65E02">
      <w:pPr>
        <w:suppressAutoHyphens w:val="0"/>
        <w:autoSpaceDN/>
        <w:spacing w:before="480" w:line="240" w:lineRule="auto"/>
        <w:jc w:val="both"/>
        <w:outlineLvl w:val="0"/>
        <w:rPr>
          <w:lang w:val="pl-PL"/>
        </w:rPr>
      </w:pPr>
      <w:r w:rsidRPr="00A71264">
        <w:rPr>
          <w:rFonts w:ascii="Arial" w:eastAsia="Times New Roman" w:hAnsi="Arial" w:cs="Arial"/>
          <w:color w:val="000000"/>
          <w:lang w:val="pl-PL" w:eastAsia="pl-PL"/>
        </w:rPr>
        <w:t>N</w:t>
      </w:r>
      <w:r w:rsidR="00D93DF8" w:rsidRPr="00A71264">
        <w:rPr>
          <w:rFonts w:ascii="Arial" w:eastAsia="Times New Roman" w:hAnsi="Arial" w:cs="Arial"/>
          <w:color w:val="000000"/>
          <w:lang w:val="pl-PL" w:eastAsia="pl-PL"/>
        </w:rPr>
        <w:t>a podstawie art. 41a</w:t>
      </w:r>
      <w:r w:rsidR="00531D2E" w:rsidRPr="00A71264">
        <w:rPr>
          <w:rFonts w:ascii="Arial" w:eastAsia="Times New Roman" w:hAnsi="Arial" w:cs="Arial"/>
          <w:color w:val="000000"/>
          <w:lang w:val="pl-PL" w:eastAsia="pl-PL"/>
        </w:rPr>
        <w:t xml:space="preserve"> ust. 2 punkt 1 u</w:t>
      </w:r>
      <w:r w:rsidRPr="00A71264">
        <w:rPr>
          <w:rFonts w:ascii="Arial" w:eastAsia="Times New Roman" w:hAnsi="Arial" w:cs="Arial"/>
          <w:color w:val="000000"/>
          <w:lang w:val="pl-PL" w:eastAsia="pl-PL"/>
        </w:rPr>
        <w:t>stawy z dnia 24 kwietnia 2003 r. o działalności pożytku publicznego i o wolontariacie (</w:t>
      </w:r>
      <w:r w:rsidR="000B2C6B" w:rsidRPr="00A71264">
        <w:rPr>
          <w:rFonts w:ascii="Arial" w:eastAsia="Times New Roman" w:hAnsi="Arial" w:cs="Arial"/>
          <w:color w:val="000000"/>
          <w:lang w:val="pl-PL" w:eastAsia="pl-PL"/>
        </w:rPr>
        <w:t>t.j. Dz. U. 2022</w:t>
      </w:r>
      <w:r w:rsidR="00272CB2" w:rsidRPr="00A71264">
        <w:rPr>
          <w:rFonts w:ascii="Arial" w:eastAsia="Times New Roman" w:hAnsi="Arial" w:cs="Arial"/>
          <w:color w:val="000000"/>
          <w:lang w:val="pl-PL" w:eastAsia="pl-PL"/>
        </w:rPr>
        <w:t xml:space="preserve"> poz. 132</w:t>
      </w:r>
      <w:r w:rsidR="0028514D" w:rsidRPr="00A71264">
        <w:rPr>
          <w:rFonts w:ascii="Arial" w:eastAsia="Times New Roman" w:hAnsi="Arial" w:cs="Arial"/>
          <w:color w:val="000000"/>
          <w:lang w:val="pl-PL" w:eastAsia="pl-PL"/>
        </w:rPr>
        <w:t>7 ze zm.),</w:t>
      </w:r>
      <w:r w:rsidRPr="00A71264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531D2E" w:rsidRPr="00A71264">
        <w:rPr>
          <w:rFonts w:ascii="Arial" w:eastAsia="Times New Roman" w:hAnsi="Arial" w:cs="Arial"/>
          <w:color w:val="000000"/>
          <w:lang w:val="pl-PL" w:eastAsia="pl-PL"/>
        </w:rPr>
        <w:t xml:space="preserve">§ 2 ust. 1 pkt. </w:t>
      </w:r>
      <w:r w:rsidR="00976E6C" w:rsidRPr="00A71264">
        <w:rPr>
          <w:rFonts w:ascii="Arial" w:eastAsia="Times New Roman" w:hAnsi="Arial" w:cs="Arial"/>
          <w:color w:val="000000"/>
          <w:lang w:val="pl-PL" w:eastAsia="pl-PL"/>
        </w:rPr>
        <w:t>2</w:t>
      </w:r>
      <w:r w:rsidR="0028514D" w:rsidRPr="00A71264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</w:t>
      </w:r>
      <w:r w:rsidR="00272CB2" w:rsidRPr="00A71264">
        <w:rPr>
          <w:rFonts w:ascii="Arial" w:eastAsia="Times New Roman" w:hAnsi="Arial" w:cs="Arial"/>
          <w:color w:val="000000"/>
          <w:lang w:val="pl-PL" w:eastAsia="pl-PL"/>
        </w:rPr>
        <w:t>874/22</w:t>
      </w:r>
      <w:r w:rsidR="0028514D" w:rsidRPr="00A71264">
        <w:rPr>
          <w:rFonts w:ascii="Arial" w:eastAsia="Times New Roman" w:hAnsi="Arial" w:cs="Arial"/>
          <w:color w:val="000000"/>
          <w:lang w:val="pl-PL" w:eastAsia="pl-PL"/>
        </w:rPr>
        <w:t xml:space="preserve"> Zarządu Wo</w:t>
      </w:r>
      <w:r w:rsidR="00CF07EF">
        <w:rPr>
          <w:rFonts w:ascii="Arial" w:eastAsia="Times New Roman" w:hAnsi="Arial" w:cs="Arial"/>
          <w:color w:val="000000"/>
          <w:lang w:val="pl-PL" w:eastAsia="pl-PL"/>
        </w:rPr>
        <w:t>jewództwa Małopolskiego z </w:t>
      </w:r>
      <w:r w:rsidR="00272CB2" w:rsidRPr="00A71264">
        <w:rPr>
          <w:rFonts w:ascii="Arial" w:eastAsia="Times New Roman" w:hAnsi="Arial" w:cs="Arial"/>
          <w:color w:val="000000"/>
          <w:lang w:val="pl-PL" w:eastAsia="pl-PL"/>
        </w:rPr>
        <w:t>dnia 31 maja 2022</w:t>
      </w:r>
      <w:r w:rsidR="0028514D" w:rsidRPr="00A71264">
        <w:rPr>
          <w:rFonts w:ascii="Arial" w:eastAsia="Times New Roman" w:hAnsi="Arial" w:cs="Arial"/>
          <w:color w:val="000000"/>
          <w:lang w:val="pl-PL" w:eastAsia="pl-PL"/>
        </w:rPr>
        <w:t xml:space="preserve"> r. w sprawie trybu powołania członków Małopolskiej Rady Działalności Pożytku Publicznego, terminu i sposobu zgłaszania kandydató</w:t>
      </w:r>
      <w:r w:rsidR="00F071C4" w:rsidRPr="00A71264">
        <w:rPr>
          <w:rFonts w:ascii="Arial" w:eastAsia="Times New Roman" w:hAnsi="Arial" w:cs="Arial"/>
          <w:color w:val="000000"/>
          <w:lang w:val="pl-PL" w:eastAsia="pl-PL"/>
        </w:rPr>
        <w:t>w oraz określenia organizacji i </w:t>
      </w:r>
      <w:r w:rsidR="0028514D" w:rsidRPr="00A71264">
        <w:rPr>
          <w:rFonts w:ascii="Arial" w:eastAsia="Times New Roman" w:hAnsi="Arial" w:cs="Arial"/>
          <w:color w:val="000000"/>
          <w:lang w:val="pl-PL" w:eastAsia="pl-PL"/>
        </w:rPr>
        <w:t>trybu jej działania, Małopolska Rada Działalności Pożytku Publicznego uchwala, co następuje:</w:t>
      </w:r>
    </w:p>
    <w:p w:rsidR="00EB493E" w:rsidRPr="00A71264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A71264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 w:rsidRPr="00A71264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A71264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296C38" w:rsidRPr="00A71264" w:rsidRDefault="00296C38" w:rsidP="00352F73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A71264">
        <w:rPr>
          <w:rFonts w:ascii="Arial" w:eastAsia="Times New Roman" w:hAnsi="Arial" w:cs="Arial"/>
          <w:color w:val="000000"/>
          <w:lang w:val="pl-PL" w:eastAsia="pl-PL"/>
        </w:rPr>
        <w:t>Opiniuje pozytywnie projekt</w:t>
      </w:r>
      <w:r w:rsidR="00352F73" w:rsidRPr="00A71264">
        <w:rPr>
          <w:rFonts w:ascii="Arial" w:hAnsi="Arial" w:cs="Arial"/>
          <w:lang w:val="pl-PL"/>
        </w:rPr>
        <w:t xml:space="preserve"> karty dla Działania „Budowanie potencjału partnerów i organizacji społeczeństwa obywatelskiego w obszarach wsparcia EFS+”, która będzie częścią Szczegółowego Opisu Priorytetów programu Fundusze Europejskie dla Małopolski 2021-2027.</w:t>
      </w:r>
    </w:p>
    <w:p w:rsidR="00296C38" w:rsidRPr="00A71264" w:rsidRDefault="00296C38" w:rsidP="00296C38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A71264">
        <w:rPr>
          <w:rFonts w:ascii="Arial" w:eastAsia="Times New Roman" w:hAnsi="Arial" w:cs="Arial"/>
          <w:bCs/>
          <w:color w:val="000000"/>
          <w:lang w:val="pl-PL" w:eastAsia="pl-PL"/>
        </w:rPr>
        <w:t>Rekomenduje jednocześnie rozważenie wprowadzenia zmian zaproponowanych w brzmieniu załącznika do niniejszej uchwały.</w:t>
      </w:r>
    </w:p>
    <w:p w:rsidR="00296C38" w:rsidRPr="00A71264" w:rsidRDefault="00296C38" w:rsidP="00296C38">
      <w:pPr>
        <w:keepNext/>
        <w:keepLines/>
        <w:suppressAutoHyphens w:val="0"/>
        <w:autoSpaceDN/>
        <w:spacing w:before="120" w:after="120" w:line="276" w:lineRule="auto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</w:p>
    <w:p w:rsidR="00EB493E" w:rsidRPr="00A71264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A71264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 w:rsidRPr="00A71264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A71264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Pr="00A71264" w:rsidRDefault="006976C5" w:rsidP="00704D2B">
      <w:pPr>
        <w:spacing w:after="444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A71264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Pr="00A71264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A71264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279B2" w:rsidRPr="00A71264" w:rsidRDefault="00A66095" w:rsidP="000279B2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Liczba głosujących: 8</w:t>
      </w:r>
    </w:p>
    <w:p w:rsidR="00D8229C" w:rsidRDefault="00A66095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Oddane głosy: „za”: 7, „przeciw”:1, „wstrzymujący się”:0</w:t>
      </w:r>
    </w:p>
    <w:p w:rsidR="00D8229C" w:rsidRDefault="00D8229C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br w:type="page"/>
      </w:r>
    </w:p>
    <w:p w:rsidR="00D8229C" w:rsidRPr="00D8229C" w:rsidRDefault="00D8229C" w:rsidP="00D8229C">
      <w:pPr>
        <w:suppressAutoHyphens w:val="0"/>
        <w:autoSpaceDN/>
        <w:spacing w:after="0" w:line="259" w:lineRule="auto"/>
        <w:jc w:val="right"/>
        <w:rPr>
          <w:rFonts w:cs="Calibri"/>
          <w:bCs/>
          <w:iCs/>
          <w:lang w:val="pl-PL"/>
        </w:rPr>
      </w:pPr>
      <w:r w:rsidRPr="00D8229C">
        <w:rPr>
          <w:rFonts w:cs="Calibri"/>
          <w:bCs/>
          <w:iCs/>
          <w:lang w:val="pl-PL"/>
        </w:rPr>
        <w:lastRenderedPageBreak/>
        <w:t xml:space="preserve">Załącznik </w:t>
      </w:r>
    </w:p>
    <w:p w:rsidR="00D8229C" w:rsidRPr="00D8229C" w:rsidRDefault="00D8229C" w:rsidP="00D8229C">
      <w:pPr>
        <w:suppressAutoHyphens w:val="0"/>
        <w:autoSpaceDN/>
        <w:spacing w:after="0" w:line="259" w:lineRule="auto"/>
        <w:jc w:val="right"/>
        <w:rPr>
          <w:rFonts w:cs="Calibri"/>
          <w:bCs/>
          <w:iCs/>
          <w:lang w:val="pl-PL"/>
        </w:rPr>
      </w:pPr>
      <w:r w:rsidRPr="00D8229C">
        <w:rPr>
          <w:rFonts w:cs="Calibri"/>
          <w:bCs/>
          <w:iCs/>
          <w:lang w:val="pl-PL"/>
        </w:rPr>
        <w:t>do uchwały Nr 2/23 MRDPP</w:t>
      </w:r>
    </w:p>
    <w:p w:rsidR="00D8229C" w:rsidRPr="00D8229C" w:rsidRDefault="00D8229C" w:rsidP="00D8229C">
      <w:pPr>
        <w:suppressAutoHyphens w:val="0"/>
        <w:autoSpaceDN/>
        <w:spacing w:after="0" w:line="259" w:lineRule="auto"/>
        <w:jc w:val="right"/>
        <w:rPr>
          <w:rFonts w:cs="Calibri"/>
          <w:bCs/>
          <w:iCs/>
          <w:lang w:val="pl-PL"/>
        </w:rPr>
      </w:pPr>
      <w:r w:rsidRPr="00D8229C">
        <w:rPr>
          <w:rFonts w:cs="Calibri"/>
          <w:bCs/>
          <w:iCs/>
          <w:lang w:val="pl-PL"/>
        </w:rPr>
        <w:t>z dnia 24.02.2023 r.</w:t>
      </w:r>
    </w:p>
    <w:p w:rsidR="00D8229C" w:rsidRPr="00D8229C" w:rsidRDefault="00D8229C" w:rsidP="00D8229C">
      <w:pPr>
        <w:suppressAutoHyphens w:val="0"/>
        <w:autoSpaceDN/>
        <w:spacing w:after="0" w:line="259" w:lineRule="auto"/>
        <w:jc w:val="right"/>
        <w:rPr>
          <w:rFonts w:cs="Calibri"/>
          <w:bCs/>
          <w:iCs/>
          <w:lang w:val="pl-PL"/>
        </w:rPr>
      </w:pPr>
    </w:p>
    <w:p w:rsidR="00D8229C" w:rsidRPr="00D8229C" w:rsidRDefault="00D8229C" w:rsidP="00D8229C">
      <w:pPr>
        <w:suppressAutoHyphens w:val="0"/>
        <w:autoSpaceDN/>
        <w:spacing w:after="0" w:line="259" w:lineRule="auto"/>
        <w:jc w:val="right"/>
        <w:rPr>
          <w:rFonts w:cs="Calibri"/>
          <w:bCs/>
          <w:iCs/>
          <w:lang w:val="pl-PL"/>
        </w:rPr>
      </w:pPr>
    </w:p>
    <w:p w:rsidR="00D8229C" w:rsidRPr="00D8229C" w:rsidRDefault="00D8229C" w:rsidP="00D8229C">
      <w:pPr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rPr>
          <w:rFonts w:cs="Calibri"/>
          <w:b/>
          <w:bCs/>
          <w:i/>
          <w:iCs/>
          <w:lang w:val="pl-PL"/>
        </w:rPr>
      </w:pPr>
      <w:r w:rsidRPr="00D8229C">
        <w:rPr>
          <w:rFonts w:cs="Calibri"/>
          <w:b/>
          <w:bCs/>
          <w:i/>
          <w:iCs/>
          <w:lang w:val="pl-PL"/>
        </w:rPr>
        <w:t xml:space="preserve">INSTYTUCJA POŚREDNICZĄCA: Jako Instytucję Pośredniczącą wskazano Wojewódzki Urząd Pracy. Z jakich środków będą realizowane wynagrodzenia i inne koszty obsługi w WUP i w jakiej wysokości? Jakiej wielkości zatrudnienie jest planowane do obsługi tej puli środków?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Całościowy </w:t>
      </w:r>
      <w:r w:rsidRPr="00D8229C">
        <w:rPr>
          <w:rFonts w:cs="Calibri"/>
          <w:b/>
          <w:bCs/>
          <w:lang w:val="pl-PL"/>
        </w:rPr>
        <w:t>budżet</w:t>
      </w:r>
      <w:r w:rsidRPr="00D8229C">
        <w:rPr>
          <w:rFonts w:cs="Calibri"/>
          <w:lang w:val="pl-PL"/>
        </w:rPr>
        <w:t xml:space="preserve"> na 7 lat okresu programowania to kwota 18 956 818 Euro, w tym: </w:t>
      </w:r>
    </w:p>
    <w:p w:rsidR="00D8229C" w:rsidRPr="00D8229C" w:rsidRDefault="00D8229C" w:rsidP="00D8229C">
      <w:pPr>
        <w:numPr>
          <w:ilvl w:val="0"/>
          <w:numId w:val="34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15 156 070 Euro dla organizacji społeczeństwa obywatelskiego oraz</w:t>
      </w:r>
    </w:p>
    <w:p w:rsidR="00D8229C" w:rsidRPr="00D8229C" w:rsidRDefault="00D8229C" w:rsidP="00D8229C">
      <w:pPr>
        <w:numPr>
          <w:ilvl w:val="0"/>
          <w:numId w:val="34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3 800 748 Euro dla partnerów społecznych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u w:val="single"/>
          <w:lang w:val="pl-PL"/>
        </w:rPr>
        <w:t>REKOMENDACJA</w:t>
      </w:r>
      <w:r w:rsidRPr="00D8229C">
        <w:rPr>
          <w:rFonts w:cs="Calibri"/>
          <w:lang w:val="pl-PL"/>
        </w:rPr>
        <w:t xml:space="preserve">: wybór operatora środków z ramienia NGO – jeden podmiot albo konsorcjum, nie powiązanego z sektorem samorządowym. </w:t>
      </w:r>
    </w:p>
    <w:p w:rsidR="00D8229C" w:rsidRPr="00D8229C" w:rsidRDefault="00D8229C" w:rsidP="00D8229C">
      <w:pPr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rPr>
          <w:b/>
          <w:bCs/>
          <w:i/>
          <w:iCs/>
          <w:lang w:val="pl-PL"/>
        </w:rPr>
      </w:pPr>
      <w:r w:rsidRPr="00D8229C">
        <w:rPr>
          <w:b/>
          <w:bCs/>
          <w:i/>
          <w:iCs/>
          <w:lang w:val="pl-PL"/>
        </w:rPr>
        <w:t>ZAKRES INTERWENCJI: Dlaczego nie wskazano kodu 08: Budowanie zdolności organizacji społeczeństwa obywatelskiego z TABELA 6: KODY DLA UZUPEŁNIAJĄCYCH OBSZARÓW TEMATYCZNYCH EFS+ w ramach UZUPEŁNIAJĄCY OBSZAR TEMATYCZNY EFS+?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i/>
          <w:iCs/>
          <w:lang w:val="pl-PL"/>
        </w:rPr>
      </w:pPr>
      <w:r w:rsidRPr="00D8229C">
        <w:rPr>
          <w:i/>
          <w:iCs/>
          <w:lang w:val="pl-PL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i/>
          <w:iCs/>
          <w:lang w:val="pl-PL"/>
        </w:rPr>
      </w:pPr>
      <w:r w:rsidRPr="00D8229C">
        <w:rPr>
          <w:i/>
          <w:iCs/>
          <w:lang w:val="pl-PL"/>
        </w:rPr>
        <w:t>str. 94 do 123, w szczególności str. 113 i następne.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lang w:val="pl-PL"/>
        </w:rPr>
      </w:pPr>
      <w:r w:rsidRPr="00D8229C">
        <w:rPr>
          <w:lang w:val="pl-PL"/>
        </w:rPr>
        <w:t xml:space="preserve">Kod 08 jest </w:t>
      </w:r>
      <w:r w:rsidRPr="00D8229C">
        <w:rPr>
          <w:b/>
          <w:bCs/>
          <w:lang w:val="pl-PL"/>
        </w:rPr>
        <w:t>dedykowany dokładnie środkom na budowanie zdolności organizacji społeczeństwa obywatelskiego i jest wskazany jako uzupełniający dla obszarów tematycznych EFS+.</w:t>
      </w:r>
      <w:r w:rsidRPr="00D8229C">
        <w:rPr>
          <w:lang w:val="pl-PL"/>
        </w:rPr>
        <w:t xml:space="preserve"> Wskazuje też wyraźnie, że znaczenie tego wsparcia jest zakotwiczone w EFS+, ale jego oddziaływanie sięga do 5 celów spójności dla lat 2021 – 2027 – dokładnie tak jak działają w Małopolsce organizacje pozarządowe, obecne właściwie w każdym obszarze życia publicznego i solidnie wspierające (na obecną chwilę własnymi, często niewystarczającymi zasobami) działania publiczne. Co dobitnie pokazały i epidemia COVID-19, i kryzys migracyjny związany z wojną w Ukrainie, ale też inne wyzwania stające przed regionem, jak choćby wyzwania klimatyczne czy gospodarcze.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lang w:val="pl-PL"/>
        </w:rPr>
      </w:pPr>
      <w:r w:rsidRPr="00D8229C">
        <w:rPr>
          <w:b/>
          <w:bCs/>
          <w:u w:val="single"/>
          <w:lang w:val="pl-PL"/>
        </w:rPr>
        <w:t>REKOMENDACJA</w:t>
      </w:r>
      <w:r w:rsidRPr="00D8229C">
        <w:rPr>
          <w:lang w:val="pl-PL"/>
        </w:rPr>
        <w:t xml:space="preserve">: przyjęcie dla programowanego wsparcia kodu 08. </w:t>
      </w:r>
    </w:p>
    <w:p w:rsidR="00D8229C" w:rsidRPr="00D8229C" w:rsidRDefault="00D8229C" w:rsidP="00D8229C">
      <w:pPr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rPr>
          <w:rFonts w:cs="Calibri"/>
          <w:b/>
          <w:bCs/>
          <w:i/>
          <w:iCs/>
          <w:lang w:val="pl-PL"/>
        </w:rPr>
      </w:pPr>
      <w:r w:rsidRPr="00D8229C">
        <w:rPr>
          <w:rFonts w:cs="Calibri"/>
          <w:b/>
          <w:bCs/>
          <w:i/>
          <w:iCs/>
          <w:lang w:val="pl-PL"/>
        </w:rPr>
        <w:t xml:space="preserve">OPIS DZIAŁANIA: Na jakiej podstawie będzie weryfikowany główny obszar działalności? Jak weryfikowane będzie to działanie? Dlaczego wyłączono możliwość działania przekrojowego?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W ramach Działania zaplanowano 6 typów projektów (A-F). Beneficjent realizuje dany projekt wyłącznie w ramach jednego typu projektu wskazanego w punktach A do F w zależności od wiodącego celu do którego przyczyniać się będzie realizacja projektu w szczególności </w:t>
      </w:r>
      <w:r w:rsidRPr="00D8229C">
        <w:rPr>
          <w:rFonts w:cs="Calibri"/>
          <w:b/>
          <w:bCs/>
          <w:lang w:val="pl-PL"/>
        </w:rPr>
        <w:t>biorąc pod uwagę główny obszar aktywności i działalności danej organizacji lub partnera społecznego</w:t>
      </w:r>
      <w:r w:rsidRPr="00D8229C">
        <w:rPr>
          <w:rFonts w:cs="Calibri"/>
          <w:lang w:val="pl-PL"/>
        </w:rPr>
        <w:t>.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Ponadto program FEM 2021 – 2027 w obszarze wsparcia organizacji zajmujących się obywatelami państw trzecich ściśle wiąże wsparcie z działaniami na rzecz pomocy takim obywatelom. Zadaniem środków na budowanie capacity building nie powinno być wspieranie konkretnego obszaru działania organizacji, ale jej wzmocnienie, niezależnie od tego, czym zajmować będzie się w przyszłości i jaki rodzaj działań będzie podejmować.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u w:val="single"/>
          <w:lang w:val="pl-PL"/>
        </w:rPr>
        <w:lastRenderedPageBreak/>
        <w:t>REKOMENDACJA</w:t>
      </w:r>
      <w:r w:rsidRPr="00D8229C">
        <w:rPr>
          <w:rFonts w:cs="Calibri"/>
          <w:lang w:val="pl-PL"/>
        </w:rPr>
        <w:t xml:space="preserve">: zmiana zapisu, który nie będzie wprowadzał kolejnych wątpliwości interpretacyjnych. </w:t>
      </w:r>
    </w:p>
    <w:p w:rsidR="00D8229C" w:rsidRPr="00D8229C" w:rsidRDefault="00D8229C" w:rsidP="00D8229C">
      <w:pPr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rPr>
          <w:rFonts w:cs="Calibri"/>
          <w:b/>
          <w:bCs/>
          <w:i/>
          <w:iCs/>
          <w:lang w:val="pl-PL"/>
        </w:rPr>
      </w:pPr>
      <w:r w:rsidRPr="00D8229C">
        <w:rPr>
          <w:rFonts w:cs="Calibri"/>
          <w:b/>
          <w:bCs/>
          <w:i/>
          <w:iCs/>
          <w:lang w:val="pl-PL"/>
        </w:rPr>
        <w:t xml:space="preserve">OPIS DZIAŁANIA: 1. Działania na poziomie samych organizacji/partnerów: (wyłącznie jako element innych działań zmierzających do budowania potencjału do realizacji działań z zakresu polityki zatrudnienia, edukacji lub włączenia społecznego, tj. nie możliwe są działania polegające wyłącznie na finansowaniu bieżącego funkcjonowania czy kosztów operacyjnych tych organizacji)” – z czego wynika taki zapis?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Skoro jako jeden z głównych obszarów problemowych zdiagnozowano zarówno brak zatrudnienia – szczególnie na podstawie umowy o pracę – pracowników w organizacjach pozarządowych, jak i prowadzenie długoterminowej (ponad 10 miesięcy) działalności trwałej, finansowej organizacji pozarządowych, to wyłączenie możliwości budowania potencjału niezależnie od bieżącej działalności czy obszarów konkursowych FEM 2021 – 2027, wskazuje faktycznie, że będzie to w rzeczywistości narzędzie rozszerzające koszty pośrednie w ramach dedykowanych konkursów EFS+ w Programie. A tym samym odbiega od założeń samego wsparcia.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u w:val="single"/>
          <w:lang w:val="pl-PL"/>
        </w:rPr>
        <w:t>REKOMENDACJA</w:t>
      </w:r>
      <w:r w:rsidRPr="00D8229C">
        <w:rPr>
          <w:rFonts w:cs="Calibri"/>
          <w:lang w:val="pl-PL"/>
        </w:rPr>
        <w:t xml:space="preserve">: dopuszczenie możliwości zatrudniania pracowników w ramach wsparcia, w szczególności w ramach umów o pracę. </w:t>
      </w:r>
    </w:p>
    <w:p w:rsidR="00D8229C" w:rsidRPr="00D8229C" w:rsidRDefault="00D8229C" w:rsidP="00D8229C">
      <w:pPr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rPr>
          <w:rFonts w:cs="Calibri"/>
          <w:b/>
          <w:bCs/>
          <w:i/>
          <w:iCs/>
          <w:lang w:val="pl-PL"/>
        </w:rPr>
      </w:pPr>
      <w:r w:rsidRPr="00D8229C">
        <w:rPr>
          <w:rFonts w:cs="Calibri"/>
          <w:b/>
          <w:bCs/>
          <w:i/>
          <w:iCs/>
          <w:lang w:val="pl-PL"/>
        </w:rPr>
        <w:t xml:space="preserve">OPIS DZIAŁANIA: Dodatkowe zasady: Beneficjentami projektów będą w szczególności organizacje społeczeństwa obywatelskiego oraz partnerzy społeczni o zasięgu regionalnym (wojewódzkim) lub lokalnym. Nie wyklucza się możliwości udziału organizacji o zasięgu ponad regionalnym czy ogólnopolskim, o ile: a) wykazany zostanie pozytywny wpływ projektu na realizację celu EFS+ na obszarze województwa małopolskiego i wsparcie będzie kierowane do podmiotów, które posiadają na terenie województwa małopolskiego np. siedzibę, filię, delegaturę, lokalny oddział, zespół projektowy,” – zapis „zespół projektowy” może doprowadzić do wsparcia organizacji nie działających w trybie ciągłym, nie zaangażowanych w regionie w polityki publiczne, a jedynie realizujących tutaj projekty i tworzących czasowe biura projektów, lub zdalne.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u w:val="single"/>
          <w:lang w:val="pl-PL"/>
        </w:rPr>
        <w:t>REKOMENDACJA</w:t>
      </w:r>
      <w:r w:rsidRPr="00D8229C">
        <w:rPr>
          <w:rFonts w:cs="Calibri"/>
          <w:lang w:val="pl-PL"/>
        </w:rPr>
        <w:t xml:space="preserve">: wykreślenie zapisu o zespole projektowym. </w:t>
      </w:r>
    </w:p>
    <w:p w:rsidR="00D8229C" w:rsidRPr="00D8229C" w:rsidRDefault="00D8229C" w:rsidP="00D8229C">
      <w:pPr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i/>
          <w:iCs/>
          <w:lang w:val="pl-PL"/>
        </w:rPr>
        <w:t>OPIS DZIAŁANIA: Zgodnie z rekomendacjami MFiPR dla programowania EFS+ w obszarze budowy zdolności organizacyjnych organizacji, należy uznać, że we wszystkich projektach realizowanych w ramach typów A-F ewentualny zakup sprzętu, mebli czy pojazdów nie jest kwalifikowalny z EFS+. Tego rodzaju wydatki mogą być zatem uwzględnione w projektach wyłącznie w ramach mechanizmu cross-financingu (z zachowaniem trwałości operacji zgodnie z art. 65 rozporządzenia ogólnego). – zapis o niemożliwości zakupu środków nie jest zgodny z ideą instrumentu CAPACITY BUILDING</w:t>
      </w:r>
      <w:r w:rsidRPr="00D8229C">
        <w:rPr>
          <w:rFonts w:cs="Calibri"/>
          <w:lang w:val="pl-PL"/>
        </w:rPr>
        <w:t xml:space="preserve">.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u w:val="single"/>
          <w:lang w:val="pl-PL"/>
        </w:rPr>
        <w:t>REKOMENDACJA</w:t>
      </w:r>
      <w:r w:rsidRPr="00D8229C">
        <w:rPr>
          <w:rFonts w:cs="Calibri"/>
          <w:lang w:val="pl-PL"/>
        </w:rPr>
        <w:t xml:space="preserve">: dopuszczenie możliwości zakupu sprzętu i urządzeń, jak również możliwości dostosowania pomieszczeń, remontów. </w:t>
      </w:r>
    </w:p>
    <w:p w:rsidR="00D8229C" w:rsidRPr="00D8229C" w:rsidRDefault="00D8229C" w:rsidP="00D8229C">
      <w:pPr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rPr>
          <w:rFonts w:cs="Calibri"/>
          <w:b/>
          <w:bCs/>
          <w:i/>
          <w:iCs/>
          <w:lang w:val="pl-PL"/>
        </w:rPr>
      </w:pPr>
      <w:r w:rsidRPr="00D8229C">
        <w:rPr>
          <w:rFonts w:cs="Calibri"/>
          <w:b/>
          <w:bCs/>
          <w:i/>
          <w:iCs/>
          <w:lang w:val="pl-PL"/>
        </w:rPr>
        <w:t>OPIS DZIAŁANIA: niezarobkowy charakter organizacji. Czy to wyklucza organizacje, które prowadzą odpłatną działalność pożytku publicznego? Organizacji prowadzących działalność gospodarczą? Spółki pożytku publicznego?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u w:val="single"/>
          <w:lang w:val="pl-PL"/>
        </w:rPr>
        <w:t>REKOMENDACJA</w:t>
      </w:r>
      <w:r w:rsidRPr="00D8229C">
        <w:rPr>
          <w:rFonts w:cs="Calibri"/>
          <w:lang w:val="pl-PL"/>
        </w:rPr>
        <w:t xml:space="preserve">: doprecyzowanie i wyjaśnienie zapisów. </w:t>
      </w:r>
    </w:p>
    <w:p w:rsidR="00D8229C" w:rsidRPr="00D8229C" w:rsidRDefault="00D8229C" w:rsidP="00D8229C">
      <w:pPr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i/>
          <w:iCs/>
          <w:lang w:val="pl-PL"/>
        </w:rPr>
        <w:t>UPROSZCZONE METODY ROZLICZANIA: stawka ryczałtowa na koszty pośrednie. Jakiego rodzaju konsekwencje będzie miało zastosowanie takiego narzędzia dla NGO w tym przypadku? Prosimy o wyjaśnienie</w:t>
      </w:r>
      <w:r w:rsidRPr="00D8229C">
        <w:rPr>
          <w:rFonts w:cs="Calibri"/>
          <w:lang w:val="pl-PL"/>
        </w:rPr>
        <w:t xml:space="preserve">.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</w:p>
    <w:p w:rsidR="00D8229C" w:rsidRPr="00D8229C" w:rsidRDefault="00D8229C" w:rsidP="00D8229C">
      <w:pPr>
        <w:suppressAutoHyphens w:val="0"/>
        <w:autoSpaceDN/>
        <w:spacing w:line="259" w:lineRule="auto"/>
        <w:ind w:firstLine="360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lastRenderedPageBreak/>
        <w:t xml:space="preserve">Powyższy wykaz uwag nie wyczerpuje potencjalnych problemów i trudności, a także niewykorzystania potencjału tych środków na rzecz budowania silnego, wielosektorowego partnerstwa w Małopolsce, z istotnych udziałem przedstawicieli społeczeństwa obywatelskiego. </w:t>
      </w:r>
    </w:p>
    <w:p w:rsidR="00D8229C" w:rsidRPr="00D8229C" w:rsidRDefault="00D8229C" w:rsidP="00D8229C">
      <w:pPr>
        <w:suppressAutoHyphens w:val="0"/>
        <w:autoSpaceDN/>
        <w:spacing w:line="259" w:lineRule="auto"/>
        <w:ind w:firstLine="360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Stąd - jako pozarządowi członkowie Małopolskiej Rady Działalności Pożytku Publicznego – zgłaszamy gotowość do szybkiego podjęcia dialogu, rozmowy, spotkania na temat znalezienia optymalnych rozwiązań dla rzeczywistego wzmocnienia potencjału organizacji pozarządowych dla włączania się do kreowania i współrealizacji polityk publicznych. </w:t>
      </w:r>
    </w:p>
    <w:p w:rsidR="00D8229C" w:rsidRPr="00D8229C" w:rsidRDefault="00D8229C" w:rsidP="00D8229C">
      <w:pPr>
        <w:suppressAutoHyphens w:val="0"/>
        <w:autoSpaceDN/>
        <w:spacing w:line="259" w:lineRule="auto"/>
        <w:ind w:firstLine="360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Dużą inspiracją są rozwiązania już procedowane bądź w trakcie formalizowania w innych regionach, które podejmują to nowe i niełatwe wyzwanie. Chętnie porozmawiamy o takich przykładach i inspiracjach z nich płynących dla naszego regionu (np. Województwo Dolnośląskie).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b/>
          <w:bCs/>
          <w:i/>
          <w:iCs/>
          <w:u w:val="single"/>
          <w:lang w:val="pl-PL"/>
        </w:rPr>
      </w:pPr>
      <w:r w:rsidRPr="00D8229C">
        <w:rPr>
          <w:rFonts w:cs="Calibri"/>
          <w:b/>
          <w:bCs/>
          <w:i/>
          <w:iCs/>
          <w:u w:val="single"/>
          <w:lang w:val="pl-PL"/>
        </w:rPr>
        <w:t>UZASADNIENIE DLA PRZEDŁOŻONYCH UWAG: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W dniach 20 – 21 lipca 2022 r. podczas spotkania z przedstawicielami Ministerstwa Funduszy i Polityki Regionalnej i reprezentantów organizacji pozarządowych w ramach regionalnych Rad Działalności Pożytku Publicznego, doszło do ponadregionalnego uspójnienia, uwspólnienia rozumienia zarówno samego terminu „capacity building” (budowanie potencjału społeczeństwa obywatelskiego) jak i wskazania potencjalnych i oczekiwanych w szczególności przez sektor organizacji pozarządowych, rozwiązań w ramach przyjętych dla regionów ustaleń.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Poniżej fragment rekomendacji ze wspomnianego spotkania. </w:t>
      </w:r>
    </w:p>
    <w:p w:rsidR="00D8229C" w:rsidRPr="00D8229C" w:rsidRDefault="00D8229C" w:rsidP="00D8229C">
      <w:pPr>
        <w:numPr>
          <w:ilvl w:val="0"/>
          <w:numId w:val="27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baseline"/>
        <w:rPr>
          <w:rFonts w:eastAsia="Times New Roman" w:cs="Calibri"/>
          <w:b/>
          <w:bCs/>
          <w:lang w:val="pl-PL" w:eastAsia="pl-PL"/>
        </w:rPr>
      </w:pPr>
      <w:r w:rsidRPr="00D8229C">
        <w:rPr>
          <w:rFonts w:eastAsia="Times New Roman" w:cs="Calibri"/>
          <w:b/>
          <w:bCs/>
          <w:lang w:val="pl-PL" w:eastAsia="pl-PL"/>
        </w:rPr>
        <w:t>„Czym jest budowa zdolności i potencjału partnerów społeczeństwa obywatelskiego?</w:t>
      </w:r>
    </w:p>
    <w:p w:rsidR="00D8229C" w:rsidRPr="00D8229C" w:rsidRDefault="00D8229C" w:rsidP="00D8229C">
      <w:pPr>
        <w:suppressAutoHyphens w:val="0"/>
        <w:autoSpaceDN/>
        <w:spacing w:before="100" w:beforeAutospacing="1" w:after="100" w:afterAutospacing="1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Termin </w:t>
      </w:r>
      <w:r w:rsidRPr="00D8229C">
        <w:rPr>
          <w:rFonts w:eastAsia="Times New Roman" w:cs="Calibri"/>
          <w:i/>
          <w:iCs/>
          <w:lang w:val="pl-PL" w:eastAsia="pl-PL"/>
        </w:rPr>
        <w:t>capacity building</w:t>
      </w:r>
      <w:r w:rsidRPr="00D8229C">
        <w:rPr>
          <w:rFonts w:eastAsia="Times New Roman" w:cs="Calibri"/>
          <w:lang w:val="pl-PL" w:eastAsia="pl-PL"/>
        </w:rPr>
        <w:t xml:space="preserve"> w ogólnym rozumieniu odnosi się do rozwijania i wzmacniania zdolności oraz ulepszania obiektów i organizacji do produkcji, wykonywania lub wdrażania określonych działań. Koncepcja budowania potencjału stosowana jest przez rządy, w organizacjach międzynarodowych, pozarządowych i społecznościach jako część rozwoju społecznego i gospodarczego. </w:t>
      </w:r>
    </w:p>
    <w:p w:rsidR="00D8229C" w:rsidRPr="00D8229C" w:rsidRDefault="00D8229C" w:rsidP="00D8229C">
      <w:pPr>
        <w:suppressAutoHyphens w:val="0"/>
        <w:autoSpaceDN/>
        <w:spacing w:before="100" w:beforeAutospacing="1" w:after="100" w:afterAutospacing="1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W węższym ujęciu odnoszącym się do partnerów społecznych (a zwłaszcza partnerów społeczeństwa obywatelskiego) przez capacity building należy rozumieć wspieranie instytucjonalnych aktorów działających w tym sektorze w celu rozwijania skutecznych, sprawnych i dobrze zarządzanych instytucji, które efektywnie wykorzystują swoje posiadane i dostępne zewnętrznie zasoby ludzkie, materiałowe, finansowe w celu realizacji zadań, do których zostały powołane. </w:t>
      </w:r>
    </w:p>
    <w:p w:rsidR="00D8229C" w:rsidRPr="00D8229C" w:rsidRDefault="00D8229C" w:rsidP="00D8229C">
      <w:pPr>
        <w:suppressAutoHyphens w:val="0"/>
        <w:autoSpaceDN/>
        <w:spacing w:before="100" w:beforeAutospacing="1" w:after="100" w:afterAutospacing="1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Działania na rzecz budowania potencjału organizacji społeczeństwa obywatelskiego z EFS+ mogą obejmować kilka (10) obszarów działań i szeroki katalog rodzajów podejmowanych interwencji:</w:t>
      </w:r>
    </w:p>
    <w:p w:rsidR="00D8229C" w:rsidRPr="00D8229C" w:rsidRDefault="00D8229C" w:rsidP="00D8229C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Działania na poziomie samych organizacji:</w:t>
      </w:r>
    </w:p>
    <w:p w:rsidR="00D8229C" w:rsidRPr="00D8229C" w:rsidRDefault="00D8229C" w:rsidP="00D8229C">
      <w:pPr>
        <w:numPr>
          <w:ilvl w:val="0"/>
          <w:numId w:val="1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wzmocnienie zasobów ludzkich w organizacjach (rozwój umiejętności  pracowników)</w:t>
      </w:r>
    </w:p>
    <w:p w:rsidR="00D8229C" w:rsidRPr="00D8229C" w:rsidRDefault="00D8229C" w:rsidP="00D8229C">
      <w:pPr>
        <w:numPr>
          <w:ilvl w:val="0"/>
          <w:numId w:val="1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wsparcie dodatkowego zatrudnienia w organizacjach</w:t>
      </w:r>
    </w:p>
    <w:p w:rsidR="00D8229C" w:rsidRPr="00D8229C" w:rsidRDefault="00D8229C" w:rsidP="00D8229C">
      <w:pPr>
        <w:numPr>
          <w:ilvl w:val="0"/>
          <w:numId w:val="1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wsparcie rozwoju wolontariatu w organizacjach</w:t>
      </w:r>
    </w:p>
    <w:p w:rsidR="00D8229C" w:rsidRPr="00D8229C" w:rsidRDefault="00D8229C" w:rsidP="00D8229C">
      <w:pPr>
        <w:numPr>
          <w:ilvl w:val="0"/>
          <w:numId w:val="1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budowanie bazy członkowskiej</w:t>
      </w:r>
    </w:p>
    <w:p w:rsidR="00D8229C" w:rsidRPr="00D8229C" w:rsidRDefault="00D8229C" w:rsidP="00D8229C">
      <w:pPr>
        <w:numPr>
          <w:ilvl w:val="0"/>
          <w:numId w:val="1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kształtowanie postaw i umiejętności liderów/liderek</w:t>
      </w:r>
    </w:p>
    <w:p w:rsidR="00D8229C" w:rsidRPr="00D8229C" w:rsidRDefault="00D8229C" w:rsidP="00D8229C">
      <w:pPr>
        <w:suppressAutoHyphens w:val="0"/>
        <w:autoSpaceDN/>
        <w:spacing w:after="0" w:line="240" w:lineRule="auto"/>
        <w:ind w:left="1080"/>
        <w:jc w:val="both"/>
        <w:textAlignment w:val="baseline"/>
        <w:rPr>
          <w:rFonts w:eastAsia="Times New Roman" w:cs="Calibri"/>
          <w:lang w:val="pl-PL" w:eastAsia="pl-PL"/>
        </w:rPr>
      </w:pPr>
    </w:p>
    <w:p w:rsidR="00D8229C" w:rsidRPr="00D8229C" w:rsidRDefault="00D8229C" w:rsidP="00D8229C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Działania skierowane bezpośrednio do organizacji zapewniające lepszą wydolność finansową (usługi bezpośrednie lub szkolenia/doradztwo w tym zakresie):</w:t>
      </w:r>
    </w:p>
    <w:p w:rsidR="00D8229C" w:rsidRPr="00D8229C" w:rsidRDefault="00D8229C" w:rsidP="00D8229C">
      <w:pPr>
        <w:numPr>
          <w:ilvl w:val="0"/>
          <w:numId w:val="17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ekonomizacja działalności (niekoniecznie w formie ekonomii społecznej)</w:t>
      </w:r>
    </w:p>
    <w:p w:rsidR="00D8229C" w:rsidRPr="00D8229C" w:rsidRDefault="00D8229C" w:rsidP="00D8229C">
      <w:pPr>
        <w:numPr>
          <w:ilvl w:val="0"/>
          <w:numId w:val="17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budowanie i poszerzanie bazy darczyńców</w:t>
      </w:r>
    </w:p>
    <w:p w:rsidR="00D8229C" w:rsidRPr="00D8229C" w:rsidRDefault="00D8229C" w:rsidP="00D8229C">
      <w:pPr>
        <w:numPr>
          <w:ilvl w:val="0"/>
          <w:numId w:val="17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budowanie i efektywne zarządzanie rezerwami</w:t>
      </w:r>
    </w:p>
    <w:p w:rsidR="00D8229C" w:rsidRPr="00D8229C" w:rsidRDefault="00D8229C" w:rsidP="00D8229C">
      <w:pPr>
        <w:numPr>
          <w:ilvl w:val="0"/>
          <w:numId w:val="17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alokacja i wykorzystywanie zasobów zasobów</w:t>
      </w:r>
    </w:p>
    <w:p w:rsidR="00D8229C" w:rsidRPr="00D8229C" w:rsidRDefault="00D8229C" w:rsidP="00D8229C">
      <w:pPr>
        <w:numPr>
          <w:ilvl w:val="0"/>
          <w:numId w:val="17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fundusze pożyczkowe i pomostowe   </w:t>
      </w:r>
    </w:p>
    <w:p w:rsidR="00D8229C" w:rsidRPr="00D8229C" w:rsidRDefault="00D8229C" w:rsidP="00D8229C">
      <w:pPr>
        <w:numPr>
          <w:ilvl w:val="0"/>
          <w:numId w:val="17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lastRenderedPageBreak/>
        <w:t>optymalizacja kosztów</w:t>
      </w:r>
    </w:p>
    <w:p w:rsidR="00D8229C" w:rsidRPr="00D8229C" w:rsidRDefault="00D8229C" w:rsidP="00D8229C">
      <w:p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</w:p>
    <w:p w:rsidR="00D8229C" w:rsidRPr="00D8229C" w:rsidRDefault="00D8229C" w:rsidP="00D8229C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Działania promujące budowanie relacji z innymi sektorami:  </w:t>
      </w:r>
    </w:p>
    <w:p w:rsidR="00D8229C" w:rsidRPr="00D8229C" w:rsidRDefault="00D8229C" w:rsidP="00D8229C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administracją rządową i samorządową </w:t>
      </w:r>
    </w:p>
    <w:p w:rsidR="00D8229C" w:rsidRPr="00D8229C" w:rsidRDefault="00D8229C" w:rsidP="00D8229C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decydentami politycznymi poziomu lokalnego, krajowego i ponadnarodowego </w:t>
      </w:r>
    </w:p>
    <w:p w:rsidR="00D8229C" w:rsidRPr="00D8229C" w:rsidRDefault="00D8229C" w:rsidP="00D8229C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biznesem </w:t>
      </w:r>
    </w:p>
    <w:p w:rsidR="00D8229C" w:rsidRPr="00D8229C" w:rsidRDefault="00D8229C" w:rsidP="00D8229C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mediami </w:t>
      </w:r>
    </w:p>
    <w:p w:rsidR="00D8229C" w:rsidRPr="00D8229C" w:rsidRDefault="00D8229C" w:rsidP="00D8229C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środowiskiem akademickim i eksperckim </w:t>
      </w:r>
    </w:p>
    <w:p w:rsidR="00D8229C" w:rsidRPr="00D8229C" w:rsidRDefault="00D8229C" w:rsidP="00D8229C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środowiskiem międzynarodowym </w:t>
      </w:r>
    </w:p>
    <w:p w:rsidR="00D8229C" w:rsidRPr="00D8229C" w:rsidRDefault="00D8229C" w:rsidP="00D8229C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szeroko rozumianą opinią publiczną </w:t>
      </w:r>
    </w:p>
    <w:p w:rsidR="00D8229C" w:rsidRPr="00D8229C" w:rsidRDefault="00D8229C" w:rsidP="00D8229C">
      <w:p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</w:p>
    <w:p w:rsidR="00D8229C" w:rsidRPr="00D8229C" w:rsidRDefault="00D8229C" w:rsidP="00D8229C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Działania budujące refleksyjność działania sektora organizacji pozarządowych:</w:t>
      </w:r>
    </w:p>
    <w:p w:rsidR="00D8229C" w:rsidRPr="00D8229C" w:rsidRDefault="00D8229C" w:rsidP="00D8229C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budowanie strategii i teorii zmiany</w:t>
      </w:r>
    </w:p>
    <w:p w:rsidR="00D8229C" w:rsidRPr="00D8229C" w:rsidRDefault="00D8229C" w:rsidP="00D8229C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ewaluacja i autoewaluacja (rozwój narzędzi, umiejętności, dostępność usług w tym zakresie)</w:t>
      </w:r>
    </w:p>
    <w:p w:rsidR="00D8229C" w:rsidRPr="00D8229C" w:rsidRDefault="00D8229C" w:rsidP="00D8229C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dostęp do baz danych i baz wiedzy innych środowisk</w:t>
      </w:r>
    </w:p>
    <w:p w:rsidR="00D8229C" w:rsidRPr="00D8229C" w:rsidRDefault="00D8229C" w:rsidP="00D8229C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zapewnienie możliwości korzystania z ekspertyz, tworzenie banku ekspertów  </w:t>
      </w:r>
    </w:p>
    <w:p w:rsidR="00D8229C" w:rsidRPr="00D8229C" w:rsidRDefault="00D8229C" w:rsidP="00D8229C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rozwój metod i narzędzi evidence based policy</w:t>
      </w:r>
    </w:p>
    <w:p w:rsidR="00D8229C" w:rsidRPr="00D8229C" w:rsidRDefault="00D8229C" w:rsidP="00D8229C">
      <w:p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</w:p>
    <w:p w:rsidR="00D8229C" w:rsidRPr="00D8229C" w:rsidRDefault="00D8229C" w:rsidP="00D8229C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Działania w zakresie konsolidacji i samowiedzy środowiska organizacji pozarządowych:</w:t>
      </w:r>
    </w:p>
    <w:p w:rsidR="00D8229C" w:rsidRPr="00D8229C" w:rsidRDefault="00D8229C" w:rsidP="00D8229C">
      <w:pPr>
        <w:numPr>
          <w:ilvl w:val="0"/>
          <w:numId w:val="21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integracja środowisk obywatelskich  - tworzenie i rozwój forum organizacji/spotkań formacyjnych </w:t>
      </w:r>
    </w:p>
    <w:p w:rsidR="00D8229C" w:rsidRPr="00D8229C" w:rsidRDefault="00D8229C" w:rsidP="00D8229C">
      <w:pPr>
        <w:numPr>
          <w:ilvl w:val="0"/>
          <w:numId w:val="21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tworzenie i wzmacnianie struktur i mechanizmów federacyjnych  </w:t>
      </w:r>
    </w:p>
    <w:p w:rsidR="00D8229C" w:rsidRPr="00D8229C" w:rsidRDefault="00D8229C" w:rsidP="00D8229C">
      <w:pPr>
        <w:numPr>
          <w:ilvl w:val="0"/>
          <w:numId w:val="21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wsparcie kluczowych organizacji (kotwic sektorowych)  </w:t>
      </w:r>
    </w:p>
    <w:p w:rsidR="00D8229C" w:rsidRPr="00D8229C" w:rsidRDefault="00D8229C" w:rsidP="00D8229C">
      <w:pPr>
        <w:numPr>
          <w:ilvl w:val="0"/>
          <w:numId w:val="21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wsparcie tzw. infrastruktury III sektora -  serwisy informacyjne, wsparcie doradcze, szkolenia, inkubacja  </w:t>
      </w:r>
    </w:p>
    <w:p w:rsidR="00D8229C" w:rsidRPr="00D8229C" w:rsidRDefault="00D8229C" w:rsidP="00D8229C">
      <w:pPr>
        <w:numPr>
          <w:ilvl w:val="0"/>
          <w:numId w:val="21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badania i analizy kondycji sektora obywatelskiego  </w:t>
      </w:r>
    </w:p>
    <w:p w:rsidR="00D8229C" w:rsidRPr="00D8229C" w:rsidRDefault="00D8229C" w:rsidP="00D8229C">
      <w:pPr>
        <w:numPr>
          <w:ilvl w:val="0"/>
          <w:numId w:val="21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tworzenie koalicji/stałych konferencji etc.</w:t>
      </w:r>
    </w:p>
    <w:p w:rsidR="00D8229C" w:rsidRPr="00D8229C" w:rsidRDefault="00D8229C" w:rsidP="00D8229C">
      <w:pPr>
        <w:numPr>
          <w:ilvl w:val="0"/>
          <w:numId w:val="21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uczestnictwo w działaniach struktur ponadnarodowych</w:t>
      </w:r>
    </w:p>
    <w:p w:rsidR="00D8229C" w:rsidRPr="00D8229C" w:rsidRDefault="00D8229C" w:rsidP="00D8229C">
      <w:p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</w:p>
    <w:p w:rsidR="00D8229C" w:rsidRPr="00D8229C" w:rsidRDefault="00D8229C" w:rsidP="00D8229C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Działania w zakresie aktywizmu obywatelskiego – podstawy działania sektora społeczeństwa obywatelskiego</w:t>
      </w:r>
    </w:p>
    <w:p w:rsidR="00D8229C" w:rsidRPr="00D8229C" w:rsidRDefault="00D8229C" w:rsidP="00D8229C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promocja szeroko pojętej aktywności obywatelskiej  </w:t>
      </w:r>
    </w:p>
    <w:p w:rsidR="00D8229C" w:rsidRPr="00D8229C" w:rsidRDefault="00D8229C" w:rsidP="00D8229C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edukacja obywatelska  </w:t>
      </w:r>
    </w:p>
    <w:p w:rsidR="00D8229C" w:rsidRPr="00D8229C" w:rsidRDefault="00D8229C" w:rsidP="00D8229C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promocja wolontariatu  </w:t>
      </w:r>
    </w:p>
    <w:p w:rsidR="00D8229C" w:rsidRPr="00D8229C" w:rsidRDefault="00D8229C" w:rsidP="00D8229C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promocja lokalnej filantropii  </w:t>
      </w:r>
    </w:p>
    <w:p w:rsidR="00D8229C" w:rsidRPr="00D8229C" w:rsidRDefault="00D8229C" w:rsidP="00D8229C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wsparcie dla grup nieformalnych i ruchów społecznych w tym promocja (selfadvocacy)</w:t>
      </w:r>
    </w:p>
    <w:p w:rsidR="00D8229C" w:rsidRPr="00D8229C" w:rsidRDefault="00D8229C" w:rsidP="00D8229C">
      <w:p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</w:p>
    <w:p w:rsidR="00D8229C" w:rsidRPr="00D8229C" w:rsidRDefault="00D8229C" w:rsidP="00D8229C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Działania w zakresie wsparcia i rozwoju partycypacji i rzecznictwa:</w:t>
      </w:r>
    </w:p>
    <w:p w:rsidR="00D8229C" w:rsidRPr="00D8229C" w:rsidRDefault="00D8229C" w:rsidP="00D8229C">
      <w:pPr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rzecznictwo na rzecz członków i podopiecznych  </w:t>
      </w:r>
    </w:p>
    <w:p w:rsidR="00D8229C" w:rsidRPr="00D8229C" w:rsidRDefault="00D8229C" w:rsidP="00D8229C">
      <w:pPr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wsparcie partycypacji w formułowaniu lokalnych i krajowych branżowych polityk publicznych  </w:t>
      </w:r>
    </w:p>
    <w:p w:rsidR="00D8229C" w:rsidRPr="00D8229C" w:rsidRDefault="00D8229C" w:rsidP="00D8229C">
      <w:pPr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budowa zdolności budowania koalicji i uwspólniania stanowisk</w:t>
      </w:r>
    </w:p>
    <w:p w:rsidR="00D8229C" w:rsidRPr="00D8229C" w:rsidRDefault="00D8229C" w:rsidP="00D8229C">
      <w:p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</w:p>
    <w:p w:rsidR="00D8229C" w:rsidRPr="00D8229C" w:rsidRDefault="00D8229C" w:rsidP="00D8229C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Działania w zakresie kształtowania i realizacji polityk publicznych w następujących wymiarach:</w:t>
      </w:r>
    </w:p>
    <w:p w:rsidR="00D8229C" w:rsidRPr="00D8229C" w:rsidRDefault="00D8229C" w:rsidP="00D8229C">
      <w:pPr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programowania (ekspercki udział w grupach roboczych, ciałach doradczych lub konsultacyjnych, konsultacjach społecznych, komitetach monitorujących, udział w formułowaniu warunków i kryteriów wyboru projektów)</w:t>
      </w:r>
    </w:p>
    <w:p w:rsidR="00D8229C" w:rsidRPr="00D8229C" w:rsidRDefault="00D8229C" w:rsidP="00D8229C">
      <w:pPr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realizacji działań (rola beneficjentów, partnerów, zleceniobiorców i wykonawców)</w:t>
      </w:r>
    </w:p>
    <w:p w:rsidR="00D8229C" w:rsidRPr="00D8229C" w:rsidRDefault="00D8229C" w:rsidP="00D8229C">
      <w:pPr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monitorowania (ekspercki udział w grupach roboczych, ciałach doradczych lub konsultacyjnych, konsultacjach społecznych, komitetach monitorujących) w tym w roli watch-dogów</w:t>
      </w:r>
    </w:p>
    <w:p w:rsidR="00D8229C" w:rsidRPr="00D8229C" w:rsidRDefault="00D8229C" w:rsidP="00D8229C">
      <w:pPr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lastRenderedPageBreak/>
        <w:t>ewaluacji (ekspercki udział w grupach roboczych, ciałach doradczych lub konsultacyjnych, konsultacjach społecznych, komitetach monitorujących). </w:t>
      </w:r>
    </w:p>
    <w:p w:rsidR="00D8229C" w:rsidRPr="00D8229C" w:rsidRDefault="00D8229C" w:rsidP="00D8229C">
      <w:p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</w:p>
    <w:p w:rsidR="00D8229C" w:rsidRPr="00D8229C" w:rsidRDefault="00D8229C" w:rsidP="00D8229C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Działania w zakresie wsparcia technicznego  </w:t>
      </w:r>
    </w:p>
    <w:p w:rsidR="00D8229C" w:rsidRPr="00D8229C" w:rsidRDefault="00D8229C" w:rsidP="00D8229C">
      <w:pPr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rozwój  bazy lokalowej  </w:t>
      </w:r>
    </w:p>
    <w:p w:rsidR="00D8229C" w:rsidRPr="00D8229C" w:rsidRDefault="00D8229C" w:rsidP="00D8229C">
      <w:pPr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wyposażenie  </w:t>
      </w:r>
    </w:p>
    <w:p w:rsidR="00D8229C" w:rsidRPr="00D8229C" w:rsidRDefault="00D8229C" w:rsidP="00D8229C">
      <w:pPr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 xml:space="preserve">rozwój kompetencji i narzędzi IT  </w:t>
      </w:r>
    </w:p>
    <w:p w:rsidR="00D8229C" w:rsidRPr="00D8229C" w:rsidRDefault="00D8229C" w:rsidP="00D8229C">
      <w:pPr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  <w:r w:rsidRPr="00D8229C">
        <w:rPr>
          <w:rFonts w:eastAsia="Times New Roman" w:cs="Calibri"/>
          <w:lang w:val="pl-PL" w:eastAsia="pl-PL"/>
        </w:rPr>
        <w:t>rozwój kompetencji zarządczych (good governance)</w:t>
      </w:r>
    </w:p>
    <w:p w:rsidR="00D8229C" w:rsidRPr="00D8229C" w:rsidRDefault="00D8229C" w:rsidP="00D8229C">
      <w:pPr>
        <w:suppressAutoHyphens w:val="0"/>
        <w:autoSpaceDN/>
        <w:spacing w:after="0" w:line="240" w:lineRule="auto"/>
        <w:jc w:val="both"/>
        <w:textAlignment w:val="baseline"/>
        <w:rPr>
          <w:rFonts w:eastAsia="Times New Roman" w:cs="Calibri"/>
          <w:lang w:val="pl-PL" w:eastAsia="pl-PL"/>
        </w:rPr>
      </w:pPr>
    </w:p>
    <w:p w:rsidR="00D8229C" w:rsidRPr="00D8229C" w:rsidRDefault="00D8229C" w:rsidP="00D8229C">
      <w:pPr>
        <w:numPr>
          <w:ilvl w:val="0"/>
          <w:numId w:val="26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Działania w zakresie podnoszenia jakości (w tym poprzez rozwój kompetencji kadr) i dostępności usług świadczonych przez organizacje pozarządowe w obszarze EFS+  oraz innych instrumentów polityki spójności 2021 – 2027.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</w:p>
    <w:p w:rsidR="00D8229C" w:rsidRPr="00D8229C" w:rsidRDefault="00D8229C" w:rsidP="00D8229C">
      <w:pPr>
        <w:numPr>
          <w:ilvl w:val="0"/>
          <w:numId w:val="27"/>
        </w:numPr>
        <w:suppressAutoHyphens w:val="0"/>
        <w:autoSpaceDN/>
        <w:spacing w:line="259" w:lineRule="auto"/>
        <w:contextualSpacing/>
        <w:jc w:val="both"/>
        <w:rPr>
          <w:rFonts w:cs="Calibri"/>
          <w:b/>
          <w:bCs/>
          <w:lang w:val="pl-PL"/>
        </w:rPr>
      </w:pPr>
      <w:r w:rsidRPr="00D8229C">
        <w:rPr>
          <w:rFonts w:cs="Calibri"/>
          <w:b/>
          <w:bCs/>
          <w:lang w:val="pl-PL"/>
        </w:rPr>
        <w:t xml:space="preserve">Działania służące budowaniu zdolności organizacji pozarządowych – ramy prawne i ograniczenia w zakresie EFS+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Rozporządzenie Parlamentu Europejskiego i Rady (UE) 2021/1057 z 24 czerwca 2021 r. w artykule 9 oraz motywie 28 preambuły zobowiązuje państwa członkowskie do przeznaczenia na cel budowania zdolności partnerów społecznych lub organizacji społeczeństwa obywatelskiego co najmniej 0,25% swoich zasobów EFS+. Rozporządzenie wskazuje również, że niezbędne jest, aby państwa członkowskie przeznaczyły odpowiednią kwotę swoich zasobów z komponentu EFS+ objętych zarządzaniem dzielonym.  Państwa członkowskie zgodnie z rozporządzeniem muszą przeznaczyć również odpowiednią kwotę EFS+ w każdym programie na budowanie zdolności partnerów społecznych i organizacji społeczeństwa obywatelskiego.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Budowanie potencjału powinno obejmować odpowiednie podmioty reprezentujące społeczeństwo obywatelskie, takie jak partnerzy działający na rzecz środowiska, organizacje pozarządowe oraz podmioty odpowiedzialne za promowanie włączenia społecznego, praw podstawowych, praw osób z niepełnosprawnościami, równouprawnienia płci i niedyskryminacji. Wspieranie budowania ww. zdolności jest ważne ponieważ efektywna i skuteczna realizacja działań wspieranych z EFS+ zależy od dobrego zarządzania i partnerstwa między wszystkimi podmiotami zaangażowanymi w dany zakres interwencji. Należy jednak jednoznacznie wskazać, że rozporządzenie EFS+ mówi o budowaniu zdolności partnerów społecznych lub organizacji społeczeństwa obywatelskiego. Wyraźnie więc wskazuje na wymiar instytucjonalny (uczestników) dialogu społecznego i obywatelskiego.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</w:p>
    <w:p w:rsidR="00D8229C" w:rsidRPr="00D8229C" w:rsidRDefault="00D8229C" w:rsidP="00D8229C">
      <w:pPr>
        <w:numPr>
          <w:ilvl w:val="0"/>
          <w:numId w:val="27"/>
        </w:numPr>
        <w:suppressAutoHyphens w:val="0"/>
        <w:autoSpaceDN/>
        <w:spacing w:line="259" w:lineRule="auto"/>
        <w:contextualSpacing/>
        <w:jc w:val="both"/>
        <w:rPr>
          <w:rFonts w:cs="Calibri"/>
          <w:b/>
          <w:bCs/>
          <w:lang w:val="pl-PL"/>
        </w:rPr>
      </w:pPr>
      <w:r w:rsidRPr="00D8229C">
        <w:rPr>
          <w:rFonts w:cs="Calibri"/>
          <w:b/>
          <w:bCs/>
          <w:lang w:val="pl-PL"/>
        </w:rPr>
        <w:t>Budowanie zdolności partnerów społeczeństwa obywatelskiego a struktura celów szczegółowych EFS+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Powyższe zapisy Rozporządzenia 2021/1057 nie znajdują jednoznacznego odzwierciedlenia w strukturze celów szczegółowych (od a do m) zawartych w artykule 4 tego rozporządzenia. Pozwala to więc uznać, że zapisy art. 9 należy odczytywać w sposób horyzontalny – przekrojowym wobec zamkniętego katalogu celów EFS+. Jednocześnie zarówno diagnoza potrzeb i postulaty środowiska pozarządowego jak i charakter uwag Komisji Europejskiej  zgłaszanych w toczących się negocjacjach programów na perspektywę 2021 – 2027 (np. dotyczących wsparcia dla organizacji o obszarze działania – ochrona środowiska) wskazują na zasadność wykorzystania EFS+ na budowę zdolności organizacji pozarządowych we wszystkich pięciu celach polityki (policy objectives) Polityki Spójności. Takie podejście umożliwi bowiem wsparcie budowy potencjału organizacji w zakresie m. in. zielonej transformacji, ochrony środowiska, efektywności energetycznej, transportu, konkurencyjności, transformacji cyfrowej itp.  Powyższa rekomendacja skierowana jest do Komisji Europejskiej.</w:t>
      </w:r>
    </w:p>
    <w:p w:rsidR="00D8229C" w:rsidRPr="00D8229C" w:rsidRDefault="00D8229C" w:rsidP="00D8229C">
      <w:pPr>
        <w:numPr>
          <w:ilvl w:val="0"/>
          <w:numId w:val="27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lang w:val="pl-PL"/>
        </w:rPr>
        <w:t>Umiejscowienie wsparcia i odniesienie do zakresu do celów szczegółowych EFS+</w:t>
      </w:r>
      <w:r w:rsidRPr="00D8229C">
        <w:rPr>
          <w:rFonts w:cs="Calibri"/>
          <w:lang w:val="pl-PL"/>
        </w:rPr>
        <w:t> 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lastRenderedPageBreak/>
        <w:t>Z racji na wspomniany powyżej brak bezpośredniego odniesienia w strukturze i treści celów szczegółowych EFS+ do budowy zdolności partnerów społecznych i postulowane horyzontalne – przekrojowe podejście do tego zagadnienia konieczne jest rozstrzygnięcie, gdzie w programach EFS+ umiejscowione powinno być wsparcie w tym zakresie.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Ze względu na zaawansowany stan prac nad programami oraz brak jednoznacznego, rozstrzygającego stanowiska (także w ramach obserwacji KE do programów), w którym celu szczegółowym umiejscowione powinno być wsparcie na rzecz budowy zdolności organizacyjnych partnerów społeczeństwa obywatelskiego uzgodniono, że zastosowane mogą być oba poniższe podejścia.</w:t>
      </w:r>
    </w:p>
    <w:p w:rsidR="00D8229C" w:rsidRPr="00D8229C" w:rsidRDefault="00D8229C" w:rsidP="00D8229C">
      <w:pPr>
        <w:numPr>
          <w:ilvl w:val="0"/>
          <w:numId w:val="28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lang w:val="pl-PL"/>
        </w:rPr>
        <w:t>Podejście skoncentrowane (rekomendowane)</w:t>
      </w:r>
      <w:r w:rsidRPr="00D8229C">
        <w:rPr>
          <w:rFonts w:cs="Calibri"/>
          <w:lang w:val="pl-PL"/>
        </w:rPr>
        <w:t xml:space="preserve"> – wsparcie na rzecz budowy zdolności organizacyjnych partnerów społeczeństwa obywatelskiego powinno być umiejscowione i skoncentrowane w jednym celu szczegółowym – celu h).  Dopuszczalne jest również skoncentrowanie wsparcia w tym zakresie w innym, jednym celu szczegółowym np. l) lub innym.  Jednak skoncentrowanie działań w jednym celu nie powinno być równoznaczne z ograniczeniem zakresu tych działań do zawartości jednego wybranego celu.  Stąd instytucje zarządzające w treści programu przy opisie omawianych działań powinny zawrzeć następująca klauzulę:</w:t>
      </w:r>
    </w:p>
    <w:p w:rsidR="00D8229C" w:rsidRPr="00D8229C" w:rsidRDefault="00D8229C" w:rsidP="00D8229C">
      <w:pPr>
        <w:suppressAutoHyphens w:val="0"/>
        <w:autoSpaceDN/>
        <w:spacing w:line="259" w:lineRule="auto"/>
        <w:ind w:left="708"/>
        <w:jc w:val="both"/>
        <w:rPr>
          <w:rFonts w:cs="Calibri"/>
          <w:i/>
          <w:iCs/>
          <w:u w:val="single"/>
          <w:lang w:val="pl-PL"/>
        </w:rPr>
      </w:pPr>
      <w:r w:rsidRPr="00D8229C">
        <w:rPr>
          <w:rFonts w:cs="Calibri"/>
          <w:i/>
          <w:iCs/>
          <w:u w:val="single"/>
          <w:lang w:val="pl-PL"/>
        </w:rPr>
        <w:t>Pomimo zawarcia działań w zakresie budowy zdolności partnerów społeczeństwa obywatelskiego w celu …, zakres merytoryczny tych działań będzie szerszy i będzie mógł dotyczyć budowy zdolności partnerów społeczeństwa obywatelskiego w obszarach wszystkich pięciu celów polityki Polityki Spójności 2021 – 2027.</w:t>
      </w:r>
    </w:p>
    <w:p w:rsidR="00D8229C" w:rsidRPr="00D8229C" w:rsidRDefault="00D8229C" w:rsidP="00D8229C">
      <w:pPr>
        <w:numPr>
          <w:ilvl w:val="0"/>
          <w:numId w:val="28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lang w:val="pl-PL"/>
        </w:rPr>
        <w:t xml:space="preserve">Podejście rozproszone (dopuszczalne) </w:t>
      </w:r>
      <w:r w:rsidRPr="00D8229C">
        <w:rPr>
          <w:rFonts w:cs="Calibri"/>
          <w:lang w:val="pl-PL"/>
        </w:rPr>
        <w:t xml:space="preserve"> - wsparcie na rzecz budowy zdolności organizacyjnych partnerów społeczeństwa obywatelskiego może być umiejscowione w więcej niż jednym (nawet we wszystkich) celach szczegółowych EFS+. Niemniej jednak w takim podejściu zasadne jest również wskazanie w treści programu (w jednym wybranym lub większej liczbie celów szczegółowych), że wybór celów szczegółowych nie ogranicza zakresu działań. Wskazanie takie powinno mieć formę zawarcia powyższej klauzuli w opisie działań w jednym lub kilku celach szczegółowych.”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Ponadto poddano analizie zapisy Strategii Rozwoju Województwa „Małopolska 2030”, który to dokument został przygotowany partycypacyjnie i zdiagnozował szereg istotnych problemów, z którymi boryka się sektor pozarządowy w Małopolsce. 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W diagnozie dla Kapitału Społecznego (str. 96 i następne) wskazano jako problemy sektora m.in.: </w:t>
      </w:r>
    </w:p>
    <w:p w:rsidR="00D8229C" w:rsidRPr="00D8229C" w:rsidRDefault="00D8229C" w:rsidP="00D8229C">
      <w:pPr>
        <w:numPr>
          <w:ilvl w:val="0"/>
          <w:numId w:val="29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typowa dla sektora społeczna praca członków zarządów organizacji (84% osób zasiadających w zarządach małopolskich organizacji nie jest w żaden sposób zatrudnianych w organizacji, nie pobiera tym samym wynagrodzenia za swoją pracę – w całej Polsce to 77%, co wyraźnie ogranicza możliwości działania;  </w:t>
      </w:r>
    </w:p>
    <w:p w:rsidR="00D8229C" w:rsidRPr="00D8229C" w:rsidRDefault="00D8229C" w:rsidP="00D8229C">
      <w:pPr>
        <w:numPr>
          <w:ilvl w:val="0"/>
          <w:numId w:val="29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 xml:space="preserve">bolączką organizacji jest mała przewidywalność przychodów, ponad połowa małopolskich organizacji (51%) miała na początku marca 2015 roku zapewnione mniej niż połowę budżetu na najbliższe 10 miesięcy, taki sam był poziom przewidywalności przychodów w całym kraju. W Małopolsce połowa organizacji deklaruje, że nie posiada żadnego majątku – to nieco więcej niż w całym kraju. </w:t>
      </w:r>
    </w:p>
    <w:p w:rsidR="00D8229C" w:rsidRPr="00D8229C" w:rsidRDefault="00D8229C" w:rsidP="00D8229C">
      <w:pPr>
        <w:numPr>
          <w:ilvl w:val="0"/>
          <w:numId w:val="29"/>
        </w:numPr>
        <w:suppressAutoHyphens w:val="0"/>
        <w:autoSpaceDN/>
        <w:spacing w:line="259" w:lineRule="auto"/>
        <w:contextualSpacing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Najpilniejszą potrzebą organizacji są środki na wkład własny do projektów – tak, według deklaracji, dodatkowe pieniądze zagospodarowałoby 39% organizacji.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Trafnie też zdefiniowano wyzwanie dla tego obszaru: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lastRenderedPageBreak/>
        <w:t>„Wzmacnianie zaangażowania liderów lokalnych i regionalnych w sprawy wspólne, jako potencjalnych partnerów samorządów w polityce rozwoju. Wymaga to zarówno działań wzmacniających chęć do angażowania się (tożsamość małopolska, identyfikacja z regionem), jak i budujących realne możliwości większego zaangażowania (kompetencje, wzmocnienie organizacyjne i finansowe organizacji pozarządowych).”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Biorąc pod uwagę zapisy części II dokumentu „Strategia” to w głównych kierunkach polityki rozwoju dla „2. Współpracy i partnerstwa” zapisano, iż „</w:t>
      </w:r>
      <w:r w:rsidRPr="00D8229C">
        <w:rPr>
          <w:rFonts w:cs="Calibri"/>
          <w:i/>
          <w:iCs/>
          <w:lang w:val="pl-PL"/>
        </w:rPr>
        <w:t xml:space="preserve">Szczególnie wartościowym zasobem rozwojowym Małopolski są organizacje pozarządowe – mogą być one znakomitym źródłem pomysłów, inspiracji, innowacji oraz partnerem, zazwyczaj niefinansowym, we wspólnych projektach, a także realizatorem kontroli jakości działań publicznych. W celu wykorzystania w pełni tego potencjału wprowadzone zostaną </w:t>
      </w:r>
      <w:r w:rsidRPr="00D8229C">
        <w:rPr>
          <w:rFonts w:cs="Calibri"/>
          <w:b/>
          <w:bCs/>
          <w:i/>
          <w:iCs/>
          <w:lang w:val="pl-PL"/>
        </w:rPr>
        <w:t>narzędzia i mechanizmy wzmocnienia instytucjonalnego, w tym finansowego</w:t>
      </w:r>
      <w:r w:rsidRPr="00D8229C">
        <w:rPr>
          <w:rFonts w:cs="Calibri"/>
          <w:i/>
          <w:iCs/>
          <w:lang w:val="pl-PL"/>
        </w:rPr>
        <w:t xml:space="preserve">, tak aby organizacje pozarządowe w szerszym zakresie mogły być </w:t>
      </w:r>
      <w:r w:rsidRPr="00D8229C">
        <w:rPr>
          <w:rFonts w:cs="Calibri"/>
          <w:b/>
          <w:bCs/>
          <w:i/>
          <w:iCs/>
          <w:lang w:val="pl-PL"/>
        </w:rPr>
        <w:t>rzeczywistym partnerem</w:t>
      </w:r>
      <w:r w:rsidRPr="00D8229C">
        <w:rPr>
          <w:rFonts w:cs="Calibri"/>
          <w:i/>
          <w:iCs/>
          <w:lang w:val="pl-PL"/>
        </w:rPr>
        <w:t xml:space="preserve"> samorządów</w:t>
      </w:r>
      <w:r w:rsidRPr="00D8229C">
        <w:rPr>
          <w:rFonts w:cs="Calibri"/>
          <w:lang w:val="pl-PL"/>
        </w:rPr>
        <w:t>.”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b/>
          <w:bCs/>
          <w:lang w:val="pl-PL"/>
        </w:rPr>
        <w:t>GŁÓWNE KIERUNKI DZIAŁAŃ</w:t>
      </w:r>
      <w:r w:rsidRPr="00D8229C">
        <w:rPr>
          <w:rFonts w:cs="Calibri"/>
          <w:lang w:val="pl-PL"/>
        </w:rPr>
        <w:t>: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2.1. Wsparcie partnerów Województwa w strategicznym zarządzaniu rozwojem: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2.2. Rozwijanie wielopoziomowych i wielosektorowych partnerstw, np.: z instytucjami publicznymi, organizacjami społecznymi, przedsiębiorcami i ich stowarzyszeniami oraz innymi jednostkami terytorialnymi: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2.2.2. Wspieranie i organizacja współpracy międzysektorowej (np.: uczelnie – biznes – instytucje publiczne – organizacje pozarządowe i międzysamorządowe) i wprowadzanie mechanizmów partnerstwa publiczno-publicznego i międzysektorowego w procesy zarządzania strategią.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2.3. Rozwijanie kapitału społecznego województwa dzięki wzmocnieniu organizacji pozarządowych i świadomości obywatelskiej mieszkańców: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2.3.5. Ustanowienie regionalnego mechanizmu na rzecz wzmocnienia potencjału małopolskich organizacji pozarządowych.”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Na poziomie dokumentów unijnych perspektywy finansowej 2021 – 2027 zapisano też kilka kluczowych i istotnych z punktu widzenia planowanych rozwiązań przez Instytucję Zarządzającą programem Fundusze Europejskie dla Małopolska 2021 – 2027, fraz. Poniżej kluczowe zapisy.</w:t>
      </w:r>
    </w:p>
    <w:p w:rsidR="00D8229C" w:rsidRPr="00D8229C" w:rsidRDefault="00D8229C" w:rsidP="00D8229C">
      <w:pPr>
        <w:numPr>
          <w:ilvl w:val="0"/>
          <w:numId w:val="33"/>
        </w:numPr>
        <w:suppressAutoHyphens w:val="0"/>
        <w:autoSpaceDN/>
        <w:spacing w:line="259" w:lineRule="auto"/>
        <w:contextualSpacing/>
        <w:jc w:val="both"/>
        <w:rPr>
          <w:b/>
          <w:bCs/>
          <w:i/>
          <w:iCs/>
          <w:lang w:val="pl-PL"/>
        </w:rPr>
      </w:pPr>
      <w:r w:rsidRPr="00D8229C">
        <w:rPr>
          <w:b/>
          <w:bCs/>
          <w:i/>
          <w:iCs/>
          <w:lang w:val="pl-PL"/>
        </w:rPr>
        <w:t>ROZPORZĄDZENIE PARLAMENTU EUROPEJSKIEGO I RADY (UE) 2021/1057 z dnia 24 czerwca 2021 r. ustanawiające Europejski Fundusz Społeczny Plus (EFS+) oraz uchylające rozporządzenie (UE) nr 1296/2013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b/>
          <w:bCs/>
          <w:u w:val="single"/>
          <w:lang w:val="pl-PL"/>
        </w:rPr>
      </w:pPr>
      <w:r w:rsidRPr="00D8229C">
        <w:rPr>
          <w:b/>
          <w:bCs/>
          <w:u w:val="single"/>
          <w:lang w:val="pl-PL"/>
        </w:rPr>
        <w:t>Preambuła: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lang w:val="pl-PL"/>
        </w:rPr>
      </w:pPr>
      <w:r w:rsidRPr="00D8229C">
        <w:rPr>
          <w:b/>
          <w:bCs/>
          <w:u w:val="single"/>
          <w:lang w:val="pl-PL"/>
        </w:rPr>
        <w:t>„(28)</w:t>
      </w:r>
      <w:r w:rsidRPr="00D8229C">
        <w:rPr>
          <w:lang w:val="pl-PL"/>
        </w:rPr>
        <w:t xml:space="preserve"> Efektywna i skuteczna realizacja działań wspieranych z EFS+ </w:t>
      </w:r>
      <w:r w:rsidRPr="00D8229C">
        <w:rPr>
          <w:color w:val="990033"/>
          <w:lang w:val="pl-PL"/>
        </w:rPr>
        <w:t>zależy od dobrego zarządzania i partnerstwa między wszystkimi podmiotami na stosownych szczeblach terytorialnych a podmiotami społeczno-gospodarczymi, w szczególności partnerami społecznymi i organizacjami społeczeństwa obywatelskiego</w:t>
      </w:r>
      <w:r w:rsidRPr="00D8229C">
        <w:rPr>
          <w:lang w:val="pl-PL"/>
        </w:rPr>
        <w:t xml:space="preserve">. Niezbędne jest zatem, aby państwa członkowskie przeznaczyły odpowiednią kwotę swoich zasobów z komponentu EFS+ objętych zarządzaniem dzielonym na </w:t>
      </w:r>
      <w:r w:rsidRPr="00D8229C">
        <w:rPr>
          <w:color w:val="C00000"/>
          <w:lang w:val="pl-PL"/>
        </w:rPr>
        <w:t>zapewnienie znaczącego udziału partnerów społecznych i organizacji społeczeństwa obywatelskiego we wdrażaniu komponentu EFS+</w:t>
      </w:r>
      <w:r w:rsidRPr="00D8229C">
        <w:rPr>
          <w:lang w:val="pl-PL"/>
        </w:rPr>
        <w:t xml:space="preserve"> w ramach zarządzania dzielonego. </w:t>
      </w:r>
      <w:r w:rsidRPr="00D8229C">
        <w:rPr>
          <w:color w:val="C00000"/>
          <w:lang w:val="pl-PL"/>
        </w:rPr>
        <w:t xml:space="preserve">Udział ten powinien obejmować odpowiednie podmioty reprezentujące społeczeństwo obywatelskie, takie jak </w:t>
      </w:r>
      <w:r w:rsidRPr="00D8229C">
        <w:rPr>
          <w:b/>
          <w:bCs/>
          <w:color w:val="C00000"/>
          <w:u w:val="single"/>
          <w:lang w:val="pl-PL"/>
        </w:rPr>
        <w:t>partnerzy działający na rzecz środowiska</w:t>
      </w:r>
      <w:r w:rsidRPr="00D8229C">
        <w:rPr>
          <w:color w:val="C00000"/>
          <w:lang w:val="pl-PL"/>
        </w:rPr>
        <w:t>, organizacje pozarządowe, oraz podmioty odpowiedzialne za promowanie włączenia społecznego, praw podstawowych, praw osób z niepełnosprawnościami, równouprawnienia płci i niedyskryminacji</w:t>
      </w:r>
      <w:r w:rsidRPr="00D8229C">
        <w:rPr>
          <w:lang w:val="pl-PL"/>
        </w:rPr>
        <w:t xml:space="preserve">. Państwa członkowskie, do których skierowano w ramach zaleceń dla poszczególnych krajów zalecenie </w:t>
      </w:r>
      <w:r w:rsidRPr="00D8229C">
        <w:rPr>
          <w:color w:val="C00000"/>
          <w:lang w:val="pl-PL"/>
        </w:rPr>
        <w:t xml:space="preserve">dotyczące budowania zdolności partnerów społecznych lub organizacji społeczeństwa obywatelskiego, </w:t>
      </w:r>
      <w:r w:rsidRPr="00D8229C">
        <w:rPr>
          <w:color w:val="C00000"/>
          <w:lang w:val="pl-PL"/>
        </w:rPr>
        <w:lastRenderedPageBreak/>
        <w:t>powinny przeznaczyć na ten cel co najmniej 0,25 % swoich zasobów z komponentu EFS+</w:t>
      </w:r>
      <w:r w:rsidRPr="00D8229C">
        <w:rPr>
          <w:lang w:val="pl-PL"/>
        </w:rPr>
        <w:t xml:space="preserve"> w ramach zarządzania dzielonego ze względu na szczególne potrzeby, jakie mają w tym obszarze.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b/>
          <w:bCs/>
          <w:u w:val="single"/>
          <w:lang w:val="pl-PL"/>
        </w:rPr>
      </w:pPr>
      <w:r w:rsidRPr="00D8229C">
        <w:rPr>
          <w:b/>
          <w:bCs/>
          <w:u w:val="single"/>
          <w:lang w:val="pl-PL"/>
        </w:rPr>
        <w:t>Artykuł 4. Cele szczegółowe EFS+</w:t>
      </w:r>
    </w:p>
    <w:p w:rsidR="00D8229C" w:rsidRPr="00D8229C" w:rsidRDefault="00D8229C" w:rsidP="00D8229C">
      <w:pPr>
        <w:numPr>
          <w:ilvl w:val="0"/>
          <w:numId w:val="30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>EFS+ wspiera następujące cele szczegółowe w obszarach polityki dotyczących zatrudnienia i mobilności pracowników, kształcenia, włączenia społecznego, w tym przyczyniania się do eliminowania ubóstwa, przez co przyczynia się również do celu polityki „Europa o silniejszym wymiarze społecznym, bardziej sprzyjająca włączeniu społecznemu i wdrażająca Europejski filar praw socjalnych”, o którym mowa w art. 5 lit. d) rozporządzenia (UE) 2021/1060: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b/>
          <w:bCs/>
          <w:lang w:val="pl-PL"/>
        </w:rPr>
        <w:t>poprawa dostępu do zatrudnienia</w:t>
      </w:r>
      <w:r w:rsidRPr="00D8229C">
        <w:rPr>
          <w:lang w:val="pl-PL"/>
        </w:rPr>
        <w:t xml:space="preserve">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b/>
          <w:bCs/>
          <w:lang w:val="pl-PL"/>
        </w:rPr>
        <w:t>modernizacja instytucji i służb rynków</w:t>
      </w:r>
      <w:r w:rsidRPr="00D8229C">
        <w:rPr>
          <w:lang w:val="pl-PL"/>
        </w:rPr>
        <w:t xml:space="preserve">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b/>
          <w:bCs/>
          <w:lang w:val="pl-PL"/>
        </w:rPr>
        <w:t>wspieranie zrównoważonego pod względem płci uczestnictwa w rynku pracy</w:t>
      </w:r>
      <w:r w:rsidRPr="00D8229C">
        <w:rPr>
          <w:lang w:val="pl-PL"/>
        </w:rPr>
        <w:t>, równych warunków pracy oraz lepszej równowagi między życiem zawodowym a prywatnym, w tym poprzez dostęp do przystępnej cenowo opieki nad dziećmi i osobami wymagającymi wsparcia w codziennym funkcjonowaniu;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 xml:space="preserve">wspieranie dostosowania pracowników, przedsiębiorstw i przedsiębiorców do zmian, wspieranie </w:t>
      </w:r>
      <w:r w:rsidRPr="00D8229C">
        <w:rPr>
          <w:b/>
          <w:bCs/>
          <w:lang w:val="pl-PL"/>
        </w:rPr>
        <w:t>aktywnego i zdrowego starzenia się</w:t>
      </w:r>
      <w:r w:rsidRPr="00D8229C">
        <w:rPr>
          <w:lang w:val="pl-PL"/>
        </w:rPr>
        <w:t xml:space="preserve"> oraz zdrowego i dobrze dostosowanego środowiska pracy, które uwzględnia zagrożenia dla zdrowia;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 xml:space="preserve">poprawa jakości, poziomu </w:t>
      </w:r>
      <w:r w:rsidRPr="00D8229C">
        <w:rPr>
          <w:b/>
          <w:bCs/>
          <w:lang w:val="pl-PL"/>
        </w:rPr>
        <w:t>włączenia społecznego i skuteczności systemów kształcenia i szkolenia</w:t>
      </w:r>
      <w:r w:rsidRPr="00D8229C">
        <w:rPr>
          <w:lang w:val="pl-PL"/>
        </w:rPr>
        <w:t xml:space="preserve"> oraz ich powiązania z rynkiem pracy – w tym przez walidację uczenia się pozaformalnego i nieformalnego, w celu wspierania nabywania kompetencji kluczowych, w tym umiejętności w zakresie przedsiębiorczości i kompetencji cyfrowych, oraz przez wspieranie wprowadzania dualnych systemów szkolenia i przygotowania zawodowego;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 xml:space="preserve">wspieranie równego dostępu </w:t>
      </w:r>
      <w:r w:rsidRPr="00D8229C">
        <w:rPr>
          <w:b/>
          <w:bCs/>
          <w:lang w:val="pl-PL"/>
        </w:rPr>
        <w:t>do dobrej jakości, włączającego kształcenia i szkolenia</w:t>
      </w:r>
      <w:r w:rsidRPr="00D8229C">
        <w:rPr>
          <w:lang w:val="pl-PL"/>
        </w:rPr>
        <w:t xml:space="preserve">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 xml:space="preserve">wspieranie </w:t>
      </w:r>
      <w:r w:rsidRPr="00D8229C">
        <w:rPr>
          <w:b/>
          <w:bCs/>
          <w:lang w:val="pl-PL"/>
        </w:rPr>
        <w:t>uczenia się przez całe życie</w:t>
      </w:r>
      <w:r w:rsidRPr="00D8229C">
        <w:rPr>
          <w:lang w:val="pl-PL"/>
        </w:rPr>
        <w:t>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 xml:space="preserve">wspieranie </w:t>
      </w:r>
      <w:r w:rsidRPr="00D8229C">
        <w:rPr>
          <w:b/>
          <w:bCs/>
          <w:lang w:val="pl-PL"/>
        </w:rPr>
        <w:t>aktywnego włączenia społecznego w celu promowania równości szans</w:t>
      </w:r>
      <w:r w:rsidRPr="00D8229C">
        <w:rPr>
          <w:lang w:val="pl-PL"/>
        </w:rPr>
        <w:t xml:space="preserve">, niedyskryminacji i aktywnego uczestnictwa, oraz zwiększanie zdolności do zatrudnienia, w szczególności grup w niekorzystnej sytuacji; 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 xml:space="preserve">wspieranie integracji społeczno-gospodarczej </w:t>
      </w:r>
      <w:r w:rsidRPr="00D8229C">
        <w:rPr>
          <w:b/>
          <w:bCs/>
          <w:lang w:val="pl-PL"/>
        </w:rPr>
        <w:t>obywateli państw trzecich</w:t>
      </w:r>
      <w:r w:rsidRPr="00D8229C">
        <w:rPr>
          <w:lang w:val="pl-PL"/>
        </w:rPr>
        <w:t>, w tym migrantów;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 xml:space="preserve">wspieranie integracji społeczno-gospodarczej społeczności marginalizowanych, takich jak </w:t>
      </w:r>
      <w:r w:rsidRPr="00D8229C">
        <w:rPr>
          <w:b/>
          <w:bCs/>
          <w:lang w:val="pl-PL"/>
        </w:rPr>
        <w:t>Romowie</w:t>
      </w:r>
      <w:r w:rsidRPr="00D8229C">
        <w:rPr>
          <w:lang w:val="pl-PL"/>
        </w:rPr>
        <w:t>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 xml:space="preserve">zwiększanie </w:t>
      </w:r>
      <w:r w:rsidRPr="00D8229C">
        <w:rPr>
          <w:b/>
          <w:bCs/>
          <w:lang w:val="pl-PL"/>
        </w:rPr>
        <w:t>równego i szybkiego dostępu do dobrej jakości, trwałych i przystępnych cenowo usług, w tym usług</w:t>
      </w:r>
      <w:r w:rsidRPr="00D8229C">
        <w:rPr>
          <w:lang w:val="pl-PL"/>
        </w:rPr>
        <w:t xml:space="preserve">, które wspierają dostęp do mieszkań oraz opieki skoncentrowanej na osobie, w tym opieki zdrowotnej; modernizacja systemów ochrony socjalnej, w tym wspieranie dostępu </w:t>
      </w:r>
      <w:r w:rsidRPr="00D8229C">
        <w:rPr>
          <w:lang w:val="pl-PL"/>
        </w:rPr>
        <w:lastRenderedPageBreak/>
        <w:t>do ochrony socjalnej, ze szczególnym uwzględnieniem dzieci i grup w niekorzystnej sytuacji; poprawa dostępności, w tym dla osób z niepełnosprawnościami, skuteczności i odporności systemów ochrony zdrowia i usług opieki długoterminowej;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 xml:space="preserve">wspieranie </w:t>
      </w:r>
      <w:r w:rsidRPr="00D8229C">
        <w:rPr>
          <w:b/>
          <w:bCs/>
          <w:lang w:val="pl-PL"/>
        </w:rPr>
        <w:t>integracji społecznej osób zagrożonych ubóstwem</w:t>
      </w:r>
      <w:r w:rsidRPr="00D8229C">
        <w:rPr>
          <w:lang w:val="pl-PL"/>
        </w:rPr>
        <w:t xml:space="preserve"> lub wykluczeniem społecznym, w tym osób najbardziej potrzebujących i dzieci;</w:t>
      </w:r>
    </w:p>
    <w:p w:rsidR="00D8229C" w:rsidRPr="00D8229C" w:rsidRDefault="00D8229C" w:rsidP="00D8229C">
      <w:pPr>
        <w:numPr>
          <w:ilvl w:val="0"/>
          <w:numId w:val="31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b/>
          <w:bCs/>
          <w:lang w:val="pl-PL"/>
        </w:rPr>
        <w:t>przeciwdziałanie deprywacji materialnej przez udzielanie pomocy żywnościowej</w:t>
      </w:r>
      <w:r w:rsidRPr="00D8229C">
        <w:rPr>
          <w:lang w:val="pl-PL"/>
        </w:rPr>
        <w:t xml:space="preserve"> lub podstawowej pomocy materialnej osobom najbardziej potrzebującym, w tym dzieciom, oraz zapewnianie środków towarzyszących wspierających ich włączenie społeczne.</w:t>
      </w:r>
    </w:p>
    <w:p w:rsidR="00D8229C" w:rsidRPr="00D8229C" w:rsidRDefault="00D8229C" w:rsidP="00D8229C">
      <w:pPr>
        <w:numPr>
          <w:ilvl w:val="0"/>
          <w:numId w:val="30"/>
        </w:numPr>
        <w:suppressAutoHyphens w:val="0"/>
        <w:autoSpaceDN/>
        <w:spacing w:line="259" w:lineRule="auto"/>
        <w:jc w:val="both"/>
        <w:rPr>
          <w:lang w:val="pl-PL"/>
        </w:rPr>
      </w:pPr>
      <w:r w:rsidRPr="00D8229C">
        <w:rPr>
          <w:b/>
          <w:bCs/>
          <w:color w:val="FF0000"/>
          <w:lang w:val="pl-PL"/>
        </w:rPr>
        <w:t>Przez działania realizowane w ramach komponentu EFS+ objętego zarządzaniem dzielonym</w:t>
      </w:r>
      <w:r w:rsidRPr="00D8229C">
        <w:rPr>
          <w:lang w:val="pl-PL"/>
        </w:rPr>
        <w:t xml:space="preserve"> </w:t>
      </w:r>
      <w:r w:rsidRPr="00D8229C">
        <w:rPr>
          <w:b/>
          <w:bCs/>
          <w:lang w:val="pl-PL"/>
        </w:rPr>
        <w:t>z myślą o osiąganiu celów szczegółowych, o których mowa w ust. 1 niniejszego artykułu, EFS+ przyczynia się do innych celów polityki wymienionych w art. 5 rozporządzenia (UE) 2021/1060</w:t>
      </w:r>
      <w:r w:rsidRPr="00D8229C">
        <w:rPr>
          <w:lang w:val="pl-PL"/>
        </w:rPr>
        <w:t>, a w szczególności celów dotyczących:</w:t>
      </w:r>
    </w:p>
    <w:p w:rsidR="00D8229C" w:rsidRPr="00D8229C" w:rsidRDefault="00D8229C" w:rsidP="00D8229C">
      <w:pPr>
        <w:numPr>
          <w:ilvl w:val="0"/>
          <w:numId w:val="32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lang w:val="pl-PL"/>
        </w:rPr>
        <w:t xml:space="preserve">bardziej inteligentnej Europy przez rozwijanie umiejętności w zakresie </w:t>
      </w:r>
      <w:r w:rsidRPr="00D8229C">
        <w:rPr>
          <w:b/>
          <w:bCs/>
          <w:lang w:val="pl-PL"/>
        </w:rPr>
        <w:t>inteligentnej specjalizacji</w:t>
      </w:r>
      <w:r w:rsidRPr="00D8229C">
        <w:rPr>
          <w:lang w:val="pl-PL"/>
        </w:rPr>
        <w:t xml:space="preserve">, kluczowych technologii prorozwojowych i transformacji przemysłowej, współpracy sektorowej w zakresie umiejętności i przedsiębiorczości, szkolenia naukowców, tworzenia sieci kontaktów i </w:t>
      </w:r>
      <w:r w:rsidRPr="00D8229C">
        <w:rPr>
          <w:b/>
          <w:bCs/>
          <w:lang w:val="pl-PL"/>
        </w:rPr>
        <w:t>partnerstw</w:t>
      </w:r>
      <w:r w:rsidRPr="00D8229C">
        <w:rPr>
          <w:lang w:val="pl-PL"/>
        </w:rPr>
        <w:t xml:space="preserve"> między instytucjami szkolnictwa wyższego, placówkami kształcenia i szkolenia zawodowego, ośrodkami badawczymi i centrami technologicznymi oraz przedsiębiorstwami i klastrami, oraz wsparcia dla mikroprzedsiębiorstw, małych i średnich przedsiębiorstw oraz na rzecz ekonomii społecznej;</w:t>
      </w:r>
    </w:p>
    <w:p w:rsidR="00D8229C" w:rsidRPr="00D8229C" w:rsidRDefault="00D8229C" w:rsidP="00D8229C">
      <w:pPr>
        <w:numPr>
          <w:ilvl w:val="0"/>
          <w:numId w:val="32"/>
        </w:numPr>
        <w:suppressAutoHyphens w:val="0"/>
        <w:autoSpaceDN/>
        <w:spacing w:line="259" w:lineRule="auto"/>
        <w:contextualSpacing/>
        <w:jc w:val="both"/>
        <w:rPr>
          <w:lang w:val="pl-PL"/>
        </w:rPr>
      </w:pPr>
      <w:r w:rsidRPr="00D8229C">
        <w:rPr>
          <w:b/>
          <w:bCs/>
          <w:color w:val="FF0000"/>
          <w:lang w:val="pl-PL"/>
        </w:rPr>
        <w:t>bardziej przyjaznej dla środowiska niskoemisyjnej Europy</w:t>
      </w:r>
      <w:r w:rsidRPr="00D8229C">
        <w:rPr>
          <w:color w:val="FF0000"/>
          <w:lang w:val="pl-PL"/>
        </w:rPr>
        <w:t xml:space="preserve"> </w:t>
      </w:r>
      <w:r w:rsidRPr="00D8229C">
        <w:rPr>
          <w:lang w:val="pl-PL"/>
        </w:rPr>
        <w:t xml:space="preserve">przez </w:t>
      </w:r>
      <w:r w:rsidRPr="00D8229C">
        <w:rPr>
          <w:b/>
          <w:bCs/>
          <w:lang w:val="pl-PL"/>
        </w:rPr>
        <w:t>usprawnianie systemów kształcenia i szkolenia niezbędnych do dostosowania umiejętności i kwalifikacji, podnoszenia kwalifikacji wszystkich,</w:t>
      </w:r>
      <w:r w:rsidRPr="00D8229C">
        <w:rPr>
          <w:lang w:val="pl-PL"/>
        </w:rPr>
        <w:t xml:space="preserve"> w tym siły roboczej, tworzenia nowych miejsc pracy w sektorach związanych ze środowiskiem, klimatem, energią, gospodarką o obiegu zamkniętym oraz biogospodarką.”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  <w:r w:rsidRPr="00D8229C">
        <w:rPr>
          <w:rFonts w:cs="Calibri"/>
          <w:lang w:val="pl-PL"/>
        </w:rPr>
        <w:t>Biorąc pod uwagę zakres programu, problemy jakie to wsparcie ma rozwiązywać, należy przyjąć możliwie najszersze zastosowanie art. 4 Rozporządzenia EFS+.</w:t>
      </w:r>
    </w:p>
    <w:p w:rsidR="00D8229C" w:rsidRPr="00D8229C" w:rsidRDefault="00D8229C" w:rsidP="00D8229C">
      <w:pPr>
        <w:suppressAutoHyphens w:val="0"/>
        <w:autoSpaceDN/>
        <w:spacing w:line="259" w:lineRule="auto"/>
        <w:jc w:val="both"/>
        <w:rPr>
          <w:rFonts w:cs="Calibri"/>
          <w:lang w:val="pl-PL"/>
        </w:rPr>
      </w:pPr>
    </w:p>
    <w:p w:rsidR="00B33A9C" w:rsidRPr="00A71264" w:rsidRDefault="00B33A9C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bookmarkStart w:id="0" w:name="_GoBack"/>
      <w:bookmarkEnd w:id="0"/>
    </w:p>
    <w:sectPr w:rsidR="00B33A9C" w:rsidRPr="00A71264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BC8"/>
    <w:multiLevelType w:val="hybridMultilevel"/>
    <w:tmpl w:val="DB40D5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423A5"/>
    <w:multiLevelType w:val="hybridMultilevel"/>
    <w:tmpl w:val="4FD05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2A1553"/>
    <w:multiLevelType w:val="hybridMultilevel"/>
    <w:tmpl w:val="4E82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13CD6"/>
    <w:multiLevelType w:val="hybridMultilevel"/>
    <w:tmpl w:val="2C1EF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47E5"/>
    <w:multiLevelType w:val="hybridMultilevel"/>
    <w:tmpl w:val="F984FB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65EC0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C500F"/>
    <w:multiLevelType w:val="hybridMultilevel"/>
    <w:tmpl w:val="AA2AAD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59A0"/>
    <w:multiLevelType w:val="hybridMultilevel"/>
    <w:tmpl w:val="DB40D5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54660"/>
    <w:multiLevelType w:val="hybridMultilevel"/>
    <w:tmpl w:val="35D248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F4290"/>
    <w:multiLevelType w:val="hybridMultilevel"/>
    <w:tmpl w:val="AA2AAD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01C2E"/>
    <w:multiLevelType w:val="hybridMultilevel"/>
    <w:tmpl w:val="91EEF8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61A0B"/>
    <w:multiLevelType w:val="hybridMultilevel"/>
    <w:tmpl w:val="21AC15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D8310B4"/>
    <w:multiLevelType w:val="hybridMultilevel"/>
    <w:tmpl w:val="DB40D5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D834C5"/>
    <w:multiLevelType w:val="hybridMultilevel"/>
    <w:tmpl w:val="73DA0168"/>
    <w:lvl w:ilvl="0" w:tplc="44A6F8A6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F654F"/>
    <w:multiLevelType w:val="hybridMultilevel"/>
    <w:tmpl w:val="B518F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4" w15:restartNumberingAfterBreak="0">
    <w:nsid w:val="52FE1637"/>
    <w:multiLevelType w:val="hybridMultilevel"/>
    <w:tmpl w:val="DB40D5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C8173A"/>
    <w:multiLevelType w:val="hybridMultilevel"/>
    <w:tmpl w:val="DB40D5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724B4B"/>
    <w:multiLevelType w:val="hybridMultilevel"/>
    <w:tmpl w:val="A3BC0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6562E"/>
    <w:multiLevelType w:val="hybridMultilevel"/>
    <w:tmpl w:val="AA2AAD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497791"/>
    <w:multiLevelType w:val="hybridMultilevel"/>
    <w:tmpl w:val="E99A5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0721A"/>
    <w:multiLevelType w:val="hybridMultilevel"/>
    <w:tmpl w:val="DB40D5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15ADA"/>
    <w:multiLevelType w:val="hybridMultilevel"/>
    <w:tmpl w:val="50902F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"/>
  </w:num>
  <w:num w:numId="4">
    <w:abstractNumId w:val="3"/>
  </w:num>
  <w:num w:numId="5">
    <w:abstractNumId w:val="23"/>
  </w:num>
  <w:num w:numId="6">
    <w:abstractNumId w:val="17"/>
  </w:num>
  <w:num w:numId="7">
    <w:abstractNumId w:val="5"/>
  </w:num>
  <w:num w:numId="8">
    <w:abstractNumId w:val="32"/>
  </w:num>
  <w:num w:numId="9">
    <w:abstractNumId w:val="12"/>
  </w:num>
  <w:num w:numId="10">
    <w:abstractNumId w:val="21"/>
  </w:num>
  <w:num w:numId="11">
    <w:abstractNumId w:val="7"/>
  </w:num>
  <w:num w:numId="12">
    <w:abstractNumId w:val="27"/>
  </w:num>
  <w:num w:numId="13">
    <w:abstractNumId w:val="10"/>
  </w:num>
  <w:num w:numId="14">
    <w:abstractNumId w:val="22"/>
  </w:num>
  <w:num w:numId="15">
    <w:abstractNumId w:val="16"/>
  </w:num>
  <w:num w:numId="16">
    <w:abstractNumId w:val="19"/>
  </w:num>
  <w:num w:numId="17">
    <w:abstractNumId w:val="24"/>
  </w:num>
  <w:num w:numId="18">
    <w:abstractNumId w:val="30"/>
  </w:num>
  <w:num w:numId="19">
    <w:abstractNumId w:val="0"/>
  </w:num>
  <w:num w:numId="20">
    <w:abstractNumId w:val="11"/>
  </w:num>
  <w:num w:numId="21">
    <w:abstractNumId w:val="25"/>
  </w:num>
  <w:num w:numId="22">
    <w:abstractNumId w:val="14"/>
  </w:num>
  <w:num w:numId="23">
    <w:abstractNumId w:val="9"/>
  </w:num>
  <w:num w:numId="24">
    <w:abstractNumId w:val="8"/>
  </w:num>
  <w:num w:numId="25">
    <w:abstractNumId w:val="28"/>
  </w:num>
  <w:num w:numId="26">
    <w:abstractNumId w:val="6"/>
  </w:num>
  <w:num w:numId="27">
    <w:abstractNumId w:val="20"/>
  </w:num>
  <w:num w:numId="28">
    <w:abstractNumId w:val="29"/>
  </w:num>
  <w:num w:numId="29">
    <w:abstractNumId w:val="26"/>
  </w:num>
  <w:num w:numId="30">
    <w:abstractNumId w:val="4"/>
  </w:num>
  <w:num w:numId="31">
    <w:abstractNumId w:val="15"/>
  </w:num>
  <w:num w:numId="32">
    <w:abstractNumId w:val="13"/>
  </w:num>
  <w:num w:numId="33">
    <w:abstractNumId w:val="3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279B2"/>
    <w:rsid w:val="00037ADB"/>
    <w:rsid w:val="000B2C6B"/>
    <w:rsid w:val="00223198"/>
    <w:rsid w:val="00272CB2"/>
    <w:rsid w:val="0028514D"/>
    <w:rsid w:val="00296C38"/>
    <w:rsid w:val="002A1676"/>
    <w:rsid w:val="002B3FD2"/>
    <w:rsid w:val="003303C7"/>
    <w:rsid w:val="00352F73"/>
    <w:rsid w:val="003E0C68"/>
    <w:rsid w:val="004344AD"/>
    <w:rsid w:val="004926FA"/>
    <w:rsid w:val="00531D2E"/>
    <w:rsid w:val="00587EBD"/>
    <w:rsid w:val="005F42B4"/>
    <w:rsid w:val="005F7766"/>
    <w:rsid w:val="00633703"/>
    <w:rsid w:val="006976C5"/>
    <w:rsid w:val="00704D2B"/>
    <w:rsid w:val="008158EF"/>
    <w:rsid w:val="00831E91"/>
    <w:rsid w:val="00887259"/>
    <w:rsid w:val="00976E6C"/>
    <w:rsid w:val="00A42AA4"/>
    <w:rsid w:val="00A66095"/>
    <w:rsid w:val="00A71264"/>
    <w:rsid w:val="00B33A9C"/>
    <w:rsid w:val="00B978DA"/>
    <w:rsid w:val="00C362C5"/>
    <w:rsid w:val="00CC6A25"/>
    <w:rsid w:val="00CF07EF"/>
    <w:rsid w:val="00D67BDB"/>
    <w:rsid w:val="00D8229C"/>
    <w:rsid w:val="00D93DF8"/>
    <w:rsid w:val="00DC61FA"/>
    <w:rsid w:val="00E42DA3"/>
    <w:rsid w:val="00EB493E"/>
    <w:rsid w:val="00EF5B26"/>
    <w:rsid w:val="00F071C4"/>
    <w:rsid w:val="00F2596F"/>
    <w:rsid w:val="00F421D3"/>
    <w:rsid w:val="00F46557"/>
    <w:rsid w:val="00F53AA2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4242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Paos, Justyna</cp:lastModifiedBy>
  <cp:revision>11</cp:revision>
  <dcterms:created xsi:type="dcterms:W3CDTF">2023-02-09T13:10:00Z</dcterms:created>
  <dcterms:modified xsi:type="dcterms:W3CDTF">2023-05-31T09:09:00Z</dcterms:modified>
</cp:coreProperties>
</file>